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Default="009B1507">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FDD" w:rsidRDefault="00816FDD">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816FDD" w:rsidRDefault="00816FDD">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 City Executive Board</w:t>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1D32A6">
        <w:rPr>
          <w:rFonts w:cs="Arial"/>
          <w:b/>
          <w:bCs/>
        </w:rPr>
        <w:t xml:space="preserve"> </w:t>
      </w:r>
      <w:r w:rsidR="00FB0165">
        <w:rPr>
          <w:rFonts w:cs="Arial"/>
          <w:b/>
          <w:bCs/>
        </w:rPr>
        <w:t>9</w:t>
      </w:r>
      <w:r w:rsidR="005E601C">
        <w:rPr>
          <w:rFonts w:cs="Arial"/>
          <w:b/>
          <w:bCs/>
        </w:rPr>
        <w:t xml:space="preserve"> </w:t>
      </w:r>
      <w:r w:rsidR="00A46C41">
        <w:rPr>
          <w:rFonts w:cs="Arial"/>
          <w:b/>
          <w:bCs/>
        </w:rPr>
        <w:t>July</w:t>
      </w:r>
      <w:r w:rsidR="005E601C">
        <w:rPr>
          <w:rFonts w:cs="Arial"/>
          <w:b/>
          <w:bCs/>
        </w:rPr>
        <w:t xml:space="preserve"> 2015</w:t>
      </w:r>
      <w:r>
        <w:rPr>
          <w:rFonts w:cs="Arial"/>
          <w:b/>
          <w:bCs/>
        </w:rPr>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1D32A6">
        <w:rPr>
          <w:rFonts w:cs="Arial"/>
          <w:b/>
          <w:bCs/>
        </w:rPr>
        <w:t xml:space="preserve"> </w:t>
      </w:r>
      <w:r w:rsidR="00ED0187">
        <w:rPr>
          <w:rFonts w:cs="Arial"/>
          <w:b/>
          <w:bCs/>
        </w:rPr>
        <w:t xml:space="preserve">Executive Director </w:t>
      </w:r>
      <w:r w:rsidR="00005557">
        <w:rPr>
          <w:rFonts w:cs="Arial"/>
          <w:b/>
          <w:bCs/>
        </w:rPr>
        <w:t>of</w:t>
      </w:r>
      <w:r w:rsidR="00ED0187">
        <w:rPr>
          <w:rFonts w:cs="Arial"/>
          <w:b/>
          <w:bCs/>
        </w:rPr>
        <w:t xml:space="preserve"> </w:t>
      </w:r>
      <w:r w:rsidR="00005557">
        <w:rPr>
          <w:rFonts w:cs="Arial"/>
          <w:b/>
          <w:bCs/>
        </w:rPr>
        <w:t xml:space="preserve">Regeneration and </w:t>
      </w:r>
      <w:r w:rsidR="00ED0187">
        <w:rPr>
          <w:rFonts w:cs="Arial"/>
          <w:b/>
          <w:bCs/>
        </w:rPr>
        <w:t xml:space="preserve">Housing </w:t>
      </w:r>
    </w:p>
    <w:p w:rsidR="00F4367A" w:rsidRDefault="00F4367A">
      <w:pPr>
        <w:tabs>
          <w:tab w:val="left" w:pos="2160"/>
        </w:tabs>
        <w:rPr>
          <w:rFonts w:cs="Arial"/>
          <w:b/>
          <w:bCs/>
        </w:rPr>
      </w:pPr>
    </w:p>
    <w:p w:rsidR="00F4367A" w:rsidRDefault="00F4367A" w:rsidP="001D32A6">
      <w:pPr>
        <w:tabs>
          <w:tab w:val="left" w:pos="2160"/>
        </w:tabs>
        <w:rPr>
          <w:rFonts w:cs="Arial"/>
          <w:b/>
          <w:bCs/>
        </w:rPr>
      </w:pPr>
      <w:r>
        <w:rPr>
          <w:rFonts w:cs="Arial"/>
          <w:b/>
          <w:bCs/>
        </w:rPr>
        <w:t xml:space="preserve">Title of Report: </w:t>
      </w:r>
      <w:r w:rsidR="005E601C">
        <w:rPr>
          <w:rFonts w:cs="Arial"/>
          <w:b/>
          <w:bCs/>
        </w:rPr>
        <w:t>Diamond Place Development Brief</w:t>
      </w:r>
      <w:r w:rsidR="001D32A6">
        <w:rPr>
          <w:rFonts w:cs="Arial"/>
          <w:b/>
          <w:bCs/>
        </w:rPr>
        <w:t xml:space="preserve"> Supplementary Planning Document</w:t>
      </w:r>
      <w:r w:rsidR="005E601C">
        <w:rPr>
          <w:rFonts w:cs="Arial"/>
          <w:b/>
          <w:bCs/>
        </w:rPr>
        <w:t xml:space="preserve">- </w:t>
      </w:r>
      <w:r w:rsidR="00A46C41">
        <w:rPr>
          <w:rFonts w:cs="Arial"/>
          <w:b/>
          <w:bCs/>
        </w:rPr>
        <w:t>Adoption</w:t>
      </w:r>
    </w:p>
    <w:p w:rsidR="001D32A6" w:rsidRDefault="001D32A6" w:rsidP="001D32A6">
      <w:pPr>
        <w:tabs>
          <w:tab w:val="left" w:pos="2160"/>
        </w:tabs>
        <w:rPr>
          <w:rFonts w:cs="Arial"/>
        </w:rPr>
      </w:pPr>
    </w:p>
    <w:p w:rsidR="00F4367A" w:rsidRDefault="00F4367A" w:rsidP="005708A2">
      <w:pPr>
        <w:pStyle w:val="Heading1"/>
        <w:pBdr>
          <w:top w:val="single" w:sz="4" w:space="0" w:color="auto"/>
          <w:left w:val="single" w:sz="4" w:space="4" w:color="auto"/>
          <w:bottom w:val="single" w:sz="4" w:space="1" w:color="auto"/>
          <w:right w:val="single" w:sz="4" w:space="4" w:color="auto"/>
        </w:pBdr>
        <w:jc w:val="center"/>
        <w:rPr>
          <w:u w:val="single"/>
        </w:rPr>
      </w:pPr>
    </w:p>
    <w:p w:rsidR="00F4367A" w:rsidRDefault="00F4367A" w:rsidP="005708A2">
      <w:pPr>
        <w:pStyle w:val="Heading1"/>
        <w:pBdr>
          <w:top w:val="single" w:sz="4" w:space="0"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rsidP="005708A2">
      <w:pPr>
        <w:pBdr>
          <w:top w:val="single" w:sz="4" w:space="0" w:color="auto"/>
          <w:left w:val="single" w:sz="4" w:space="4" w:color="auto"/>
          <w:bottom w:val="single" w:sz="4" w:space="1" w:color="auto"/>
          <w:right w:val="single" w:sz="4" w:space="4" w:color="auto"/>
        </w:pBdr>
        <w:rPr>
          <w:rFonts w:cs="Arial"/>
        </w:rPr>
      </w:pPr>
    </w:p>
    <w:p w:rsidR="00F4367A" w:rsidRDefault="00F4367A" w:rsidP="005708A2">
      <w:pPr>
        <w:pBdr>
          <w:top w:val="single" w:sz="4" w:space="0"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5708A2">
        <w:rPr>
          <w:rFonts w:cs="Arial"/>
        </w:rPr>
        <w:t xml:space="preserve">To </w:t>
      </w:r>
      <w:r w:rsidR="00A46C41">
        <w:rPr>
          <w:rFonts w:cs="Arial"/>
        </w:rPr>
        <w:t>adopt</w:t>
      </w:r>
      <w:r w:rsidR="005708A2">
        <w:rPr>
          <w:rFonts w:cs="Arial"/>
        </w:rPr>
        <w:t xml:space="preserve"> the </w:t>
      </w:r>
      <w:r w:rsidR="005E601C">
        <w:rPr>
          <w:rFonts w:cs="Arial"/>
        </w:rPr>
        <w:t>Diamond Place</w:t>
      </w:r>
      <w:r w:rsidR="005708A2">
        <w:rPr>
          <w:rFonts w:cs="Arial"/>
        </w:rPr>
        <w:t xml:space="preserve"> Supplementary Planning Document</w:t>
      </w:r>
      <w:r w:rsidR="00CF5C32">
        <w:rPr>
          <w:rFonts w:cs="Arial"/>
        </w:rPr>
        <w:t xml:space="preserve"> </w:t>
      </w:r>
    </w:p>
    <w:p w:rsidR="00F4367A" w:rsidRDefault="00F4367A" w:rsidP="005708A2">
      <w:pPr>
        <w:pBdr>
          <w:top w:val="single" w:sz="4" w:space="0"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F4367A" w:rsidP="005708A2">
      <w:pPr>
        <w:pStyle w:val="Heading1"/>
        <w:pBdr>
          <w:top w:val="single" w:sz="4" w:space="0" w:color="auto"/>
          <w:left w:val="single" w:sz="4" w:space="4" w:color="auto"/>
          <w:bottom w:val="single" w:sz="4" w:space="1" w:color="auto"/>
          <w:right w:val="single" w:sz="4" w:space="4" w:color="auto"/>
        </w:pBdr>
        <w:tabs>
          <w:tab w:val="left" w:pos="3062"/>
        </w:tabs>
        <w:rPr>
          <w:bCs w:val="0"/>
        </w:rPr>
      </w:pPr>
      <w:proofErr w:type="gramStart"/>
      <w:r>
        <w:rPr>
          <w:bCs w:val="0"/>
        </w:rPr>
        <w:t>Key decision?</w:t>
      </w:r>
      <w:proofErr w:type="gramEnd"/>
      <w:r>
        <w:rPr>
          <w:bCs w:val="0"/>
        </w:rPr>
        <w:t xml:space="preserve"> </w:t>
      </w:r>
      <w:r w:rsidR="005708A2">
        <w:rPr>
          <w:bCs w:val="0"/>
        </w:rPr>
        <w:t xml:space="preserve"> </w:t>
      </w:r>
      <w:r w:rsidR="005708A2" w:rsidRPr="005708A2">
        <w:rPr>
          <w:b w:val="0"/>
          <w:bCs w:val="0"/>
        </w:rPr>
        <w:t>No</w:t>
      </w:r>
    </w:p>
    <w:p w:rsidR="00F4367A" w:rsidRDefault="00F4367A" w:rsidP="005708A2">
      <w:pPr>
        <w:pBdr>
          <w:top w:val="single" w:sz="4" w:space="0" w:color="auto"/>
          <w:left w:val="single" w:sz="4" w:space="4" w:color="auto"/>
          <w:bottom w:val="single" w:sz="4" w:space="1" w:color="auto"/>
          <w:right w:val="single" w:sz="4" w:space="4" w:color="auto"/>
        </w:pBdr>
        <w:rPr>
          <w:rFonts w:cs="Arial"/>
        </w:rPr>
      </w:pPr>
    </w:p>
    <w:p w:rsidR="00F4367A" w:rsidRDefault="00F4367A" w:rsidP="005708A2">
      <w:pPr>
        <w:pBdr>
          <w:top w:val="single" w:sz="4" w:space="0"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5708A2" w:rsidRPr="005708A2">
        <w:rPr>
          <w:rFonts w:cs="Arial"/>
          <w:bCs/>
        </w:rPr>
        <w:t xml:space="preserve">Councillor </w:t>
      </w:r>
      <w:r w:rsidR="00BC5483">
        <w:rPr>
          <w:rFonts w:cs="Arial"/>
          <w:bCs/>
        </w:rPr>
        <w:t>Alex Hollingsworth</w:t>
      </w:r>
      <w:r w:rsidR="00B705B8">
        <w:rPr>
          <w:rFonts w:cs="Arial"/>
          <w:bCs/>
        </w:rPr>
        <w:t>, Executive Board Member for Planning, Transport and Regulatory Services</w:t>
      </w:r>
    </w:p>
    <w:p w:rsidR="00F4367A" w:rsidRDefault="00F4367A" w:rsidP="005708A2">
      <w:pPr>
        <w:pStyle w:val="Heading1"/>
        <w:pBdr>
          <w:top w:val="single" w:sz="4" w:space="0" w:color="auto"/>
          <w:left w:val="single" w:sz="4" w:space="4" w:color="auto"/>
          <w:bottom w:val="single" w:sz="4" w:space="1" w:color="auto"/>
          <w:right w:val="single" w:sz="4" w:space="4" w:color="auto"/>
        </w:pBdr>
      </w:pPr>
    </w:p>
    <w:p w:rsidR="00F4367A" w:rsidRPr="005708A2" w:rsidRDefault="00F4367A" w:rsidP="005708A2">
      <w:pPr>
        <w:pBdr>
          <w:top w:val="single" w:sz="4" w:space="0" w:color="auto"/>
          <w:left w:val="single" w:sz="4" w:space="4" w:color="auto"/>
          <w:bottom w:val="single" w:sz="4" w:space="1" w:color="auto"/>
          <w:right w:val="single" w:sz="4" w:space="4" w:color="auto"/>
        </w:pBdr>
        <w:rPr>
          <w:rFonts w:cs="Arial"/>
          <w:bCs/>
        </w:rPr>
      </w:pPr>
      <w:r>
        <w:rPr>
          <w:rFonts w:cs="Arial"/>
          <w:b/>
          <w:bCs/>
        </w:rPr>
        <w:t xml:space="preserve">Policy Framework: </w:t>
      </w:r>
      <w:r w:rsidR="005708A2" w:rsidRPr="005708A2">
        <w:rPr>
          <w:rFonts w:cs="Arial"/>
          <w:bCs/>
        </w:rPr>
        <w:t>The SPD will assist in the delivery of the allocation policy for this site in the Sites and Housing Plan</w:t>
      </w:r>
    </w:p>
    <w:p w:rsidR="00F4367A" w:rsidRDefault="00F4367A" w:rsidP="005708A2">
      <w:pPr>
        <w:pStyle w:val="Heading1"/>
        <w:pBdr>
          <w:top w:val="single" w:sz="4" w:space="0" w:color="auto"/>
          <w:left w:val="single" w:sz="4" w:space="4" w:color="auto"/>
          <w:bottom w:val="single" w:sz="4" w:space="1" w:color="auto"/>
          <w:right w:val="single" w:sz="4" w:space="4" w:color="auto"/>
        </w:pBdr>
      </w:pPr>
    </w:p>
    <w:p w:rsidR="005708A2" w:rsidRDefault="00F4367A" w:rsidP="005708A2">
      <w:pPr>
        <w:pBdr>
          <w:top w:val="single" w:sz="4" w:space="0"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5708A2" w:rsidRPr="005708A2">
        <w:rPr>
          <w:rFonts w:cs="Arial"/>
        </w:rPr>
        <w:t>That City Executive Board</w:t>
      </w:r>
      <w:r w:rsidR="005708A2">
        <w:rPr>
          <w:rFonts w:cs="Arial"/>
        </w:rPr>
        <w:t>:</w:t>
      </w:r>
    </w:p>
    <w:p w:rsidR="005708A2" w:rsidRDefault="005708A2" w:rsidP="005708A2">
      <w:pPr>
        <w:pBdr>
          <w:top w:val="single" w:sz="4" w:space="0" w:color="auto"/>
          <w:left w:val="single" w:sz="4" w:space="4" w:color="auto"/>
          <w:bottom w:val="single" w:sz="4" w:space="1" w:color="auto"/>
          <w:right w:val="single" w:sz="4" w:space="4" w:color="auto"/>
        </w:pBdr>
        <w:tabs>
          <w:tab w:val="left" w:pos="3048"/>
        </w:tabs>
        <w:rPr>
          <w:rFonts w:cs="Arial"/>
        </w:rPr>
      </w:pPr>
    </w:p>
    <w:p w:rsidR="00A46C41" w:rsidRDefault="005708A2" w:rsidP="009B1507">
      <w:pPr>
        <w:pBdr>
          <w:top w:val="single" w:sz="4" w:space="0" w:color="auto"/>
          <w:left w:val="single" w:sz="4" w:space="4" w:color="auto"/>
          <w:bottom w:val="single" w:sz="4" w:space="1" w:color="auto"/>
          <w:right w:val="single" w:sz="4" w:space="4" w:color="auto"/>
        </w:pBdr>
        <w:tabs>
          <w:tab w:val="left" w:pos="3048"/>
        </w:tabs>
        <w:spacing w:after="120"/>
        <w:rPr>
          <w:rFonts w:cs="Arial"/>
        </w:rPr>
      </w:pPr>
      <w:r>
        <w:rPr>
          <w:rFonts w:cs="Arial"/>
        </w:rPr>
        <w:t xml:space="preserve">1. </w:t>
      </w:r>
      <w:r w:rsidR="00A46C41">
        <w:rPr>
          <w:rFonts w:cs="Arial"/>
        </w:rPr>
        <w:t>Adopts</w:t>
      </w:r>
      <w:r>
        <w:rPr>
          <w:rFonts w:cs="Arial"/>
        </w:rPr>
        <w:t xml:space="preserve"> the Supplementary Planning Document </w:t>
      </w:r>
    </w:p>
    <w:p w:rsidR="00F4367A" w:rsidRPr="009B1507" w:rsidRDefault="00A46C41" w:rsidP="009B1507">
      <w:pPr>
        <w:pBdr>
          <w:top w:val="single" w:sz="4" w:space="0" w:color="auto"/>
          <w:left w:val="single" w:sz="4" w:space="4" w:color="auto"/>
          <w:bottom w:val="single" w:sz="4" w:space="1" w:color="auto"/>
          <w:right w:val="single" w:sz="4" w:space="4" w:color="auto"/>
        </w:pBdr>
        <w:tabs>
          <w:tab w:val="left" w:pos="3048"/>
        </w:tabs>
        <w:spacing w:after="120"/>
        <w:rPr>
          <w:rFonts w:cs="Arial"/>
        </w:rPr>
      </w:pPr>
      <w:r>
        <w:rPr>
          <w:rFonts w:cs="Arial"/>
        </w:rPr>
        <w:t xml:space="preserve">2. </w:t>
      </w:r>
      <w:r w:rsidR="00B705B8">
        <w:rPr>
          <w:rFonts w:cs="Arial"/>
        </w:rPr>
        <w:t>Delegate authority to</w:t>
      </w:r>
      <w:r w:rsidR="00CF5C32">
        <w:rPr>
          <w:rFonts w:cs="Arial"/>
        </w:rPr>
        <w:t xml:space="preserve"> the Head of </w:t>
      </w:r>
      <w:r w:rsidR="000F6A05">
        <w:rPr>
          <w:rFonts w:cs="Arial"/>
        </w:rPr>
        <w:t>Planning and Regulatory</w:t>
      </w:r>
      <w:r w:rsidR="005708A2">
        <w:rPr>
          <w:rFonts w:cs="Arial"/>
        </w:rPr>
        <w:t xml:space="preserve"> to make any necessary editorial corrections to the document prior to publication in consultation with the Board Member</w:t>
      </w:r>
    </w:p>
    <w:p w:rsidR="00F4367A" w:rsidRDefault="00F4367A">
      <w:pPr>
        <w:rPr>
          <w:rFonts w:cs="Arial"/>
        </w:rPr>
      </w:pPr>
    </w:p>
    <w:p w:rsidR="009B1507" w:rsidRPr="00447888" w:rsidRDefault="009B1507">
      <w:pPr>
        <w:rPr>
          <w:rFonts w:cs="Arial"/>
        </w:rPr>
      </w:pPr>
      <w:r w:rsidRPr="00447888">
        <w:rPr>
          <w:rFonts w:cs="Arial"/>
        </w:rPr>
        <w:t xml:space="preserve">Appendix 1: </w:t>
      </w:r>
      <w:r w:rsidR="00560903">
        <w:rPr>
          <w:rFonts w:cs="Arial"/>
        </w:rPr>
        <w:tab/>
      </w:r>
      <w:r w:rsidR="00560903">
        <w:rPr>
          <w:rFonts w:cs="Arial"/>
        </w:rPr>
        <w:tab/>
      </w:r>
      <w:r w:rsidRPr="00447888">
        <w:rPr>
          <w:rFonts w:cs="Arial"/>
        </w:rPr>
        <w:t>Supplementary Planning Document</w:t>
      </w:r>
      <w:r w:rsidR="00FB0165">
        <w:rPr>
          <w:rFonts w:cs="Arial"/>
        </w:rPr>
        <w:t xml:space="preserve"> with tracked changes</w:t>
      </w:r>
    </w:p>
    <w:p w:rsidR="009B1507" w:rsidRPr="00447888" w:rsidRDefault="009B1507" w:rsidP="00560903">
      <w:pPr>
        <w:ind w:left="2160" w:hanging="2160"/>
        <w:rPr>
          <w:rFonts w:cs="Arial"/>
        </w:rPr>
      </w:pPr>
      <w:r w:rsidRPr="00447888">
        <w:rPr>
          <w:rFonts w:cs="Arial"/>
        </w:rPr>
        <w:t xml:space="preserve">Appendix 2: </w:t>
      </w:r>
      <w:r w:rsidR="00560903">
        <w:rPr>
          <w:rFonts w:cs="Arial"/>
        </w:rPr>
        <w:tab/>
      </w:r>
      <w:r w:rsidR="007A4A24" w:rsidRPr="00447888">
        <w:rPr>
          <w:rFonts w:cs="Arial"/>
        </w:rPr>
        <w:t xml:space="preserve">Public Involvement Statement </w:t>
      </w:r>
      <w:r w:rsidR="00FB0165">
        <w:rPr>
          <w:rFonts w:cs="Arial"/>
        </w:rPr>
        <w:t>including summary of comments on draft, responses and proposed changes</w:t>
      </w:r>
    </w:p>
    <w:p w:rsidR="009B1507" w:rsidRPr="00447888" w:rsidRDefault="009B1507">
      <w:pPr>
        <w:rPr>
          <w:rFonts w:cs="Arial"/>
        </w:rPr>
      </w:pPr>
      <w:r w:rsidRPr="00447888">
        <w:rPr>
          <w:rFonts w:cs="Arial"/>
        </w:rPr>
        <w:t xml:space="preserve">Appendix 3: </w:t>
      </w:r>
      <w:r w:rsidR="00560903">
        <w:rPr>
          <w:rFonts w:cs="Arial"/>
        </w:rPr>
        <w:tab/>
      </w:r>
      <w:r w:rsidR="00560903">
        <w:rPr>
          <w:rFonts w:cs="Arial"/>
        </w:rPr>
        <w:tab/>
      </w:r>
      <w:r w:rsidR="00BA03E5" w:rsidRPr="00447888">
        <w:rPr>
          <w:rFonts w:cs="Arial"/>
        </w:rPr>
        <w:t>Background Paper 1: Character Appraisal</w:t>
      </w:r>
    </w:p>
    <w:p w:rsidR="00BA03E5" w:rsidRPr="00447888" w:rsidRDefault="00BA03E5">
      <w:pPr>
        <w:rPr>
          <w:rFonts w:cs="Arial"/>
        </w:rPr>
      </w:pPr>
      <w:r w:rsidRPr="00447888">
        <w:rPr>
          <w:rFonts w:cs="Arial"/>
        </w:rPr>
        <w:t xml:space="preserve">Appendix 4: </w:t>
      </w:r>
      <w:r w:rsidR="00560903">
        <w:rPr>
          <w:rFonts w:cs="Arial"/>
        </w:rPr>
        <w:tab/>
      </w:r>
      <w:r w:rsidR="00560903">
        <w:rPr>
          <w:rFonts w:cs="Arial"/>
        </w:rPr>
        <w:tab/>
      </w:r>
      <w:r w:rsidRPr="00447888">
        <w:rPr>
          <w:rFonts w:cs="Arial"/>
        </w:rPr>
        <w:t>Risk Assessment</w:t>
      </w:r>
    </w:p>
    <w:p w:rsidR="009B1507" w:rsidRPr="00447888" w:rsidRDefault="009B1507">
      <w:pPr>
        <w:rPr>
          <w:rFonts w:cs="Arial"/>
        </w:rPr>
      </w:pPr>
      <w:r w:rsidRPr="00447888">
        <w:rPr>
          <w:rFonts w:cs="Arial"/>
        </w:rPr>
        <w:t xml:space="preserve">Appendix </w:t>
      </w:r>
      <w:r w:rsidR="00274C3A" w:rsidRPr="00447888">
        <w:rPr>
          <w:rFonts w:cs="Arial"/>
        </w:rPr>
        <w:t>5</w:t>
      </w:r>
      <w:r w:rsidRPr="00447888">
        <w:rPr>
          <w:rFonts w:cs="Arial"/>
        </w:rPr>
        <w:t xml:space="preserve">: </w:t>
      </w:r>
      <w:r w:rsidR="00560903">
        <w:rPr>
          <w:rFonts w:cs="Arial"/>
        </w:rPr>
        <w:tab/>
      </w:r>
      <w:r w:rsidR="00560903">
        <w:rPr>
          <w:rFonts w:cs="Arial"/>
        </w:rPr>
        <w:tab/>
      </w:r>
      <w:r w:rsidR="007A4A24" w:rsidRPr="00447888">
        <w:rPr>
          <w:rFonts w:cs="Arial"/>
        </w:rPr>
        <w:t>Strategic Environmental Assessment Screening Report</w:t>
      </w:r>
    </w:p>
    <w:p w:rsidR="009B1507" w:rsidRPr="00447888" w:rsidRDefault="009B1507">
      <w:pPr>
        <w:rPr>
          <w:rFonts w:cs="Arial"/>
        </w:rPr>
      </w:pPr>
      <w:r w:rsidRPr="00447888">
        <w:rPr>
          <w:rFonts w:cs="Arial"/>
        </w:rPr>
        <w:t xml:space="preserve">Appendix </w:t>
      </w:r>
      <w:r w:rsidR="00274C3A" w:rsidRPr="00447888">
        <w:rPr>
          <w:rFonts w:cs="Arial"/>
        </w:rPr>
        <w:t>6</w:t>
      </w:r>
      <w:r w:rsidRPr="00447888">
        <w:rPr>
          <w:rFonts w:cs="Arial"/>
        </w:rPr>
        <w:t xml:space="preserve">: </w:t>
      </w:r>
      <w:r w:rsidR="00560903">
        <w:rPr>
          <w:rFonts w:cs="Arial"/>
        </w:rPr>
        <w:tab/>
      </w:r>
      <w:r w:rsidR="00560903">
        <w:rPr>
          <w:rFonts w:cs="Arial"/>
        </w:rPr>
        <w:tab/>
      </w:r>
      <w:bookmarkStart w:id="0" w:name="_GoBack"/>
      <w:bookmarkEnd w:id="0"/>
      <w:r w:rsidRPr="00447888">
        <w:rPr>
          <w:rFonts w:cs="Arial"/>
        </w:rPr>
        <w:t>Equalities Impact Assessment</w:t>
      </w:r>
    </w:p>
    <w:p w:rsidR="009B1507" w:rsidRDefault="009B1507" w:rsidP="009B1507">
      <w:pPr>
        <w:rPr>
          <w:rFonts w:cs="Arial"/>
          <w:b/>
        </w:rPr>
      </w:pPr>
      <w:r w:rsidRPr="00447888">
        <w:rPr>
          <w:rFonts w:cs="Arial"/>
        </w:rPr>
        <w:br w:type="page"/>
      </w:r>
      <w:r w:rsidRPr="00447888">
        <w:rPr>
          <w:rFonts w:cs="Arial"/>
          <w:b/>
        </w:rPr>
        <w:lastRenderedPageBreak/>
        <w:t>Introduction and Policy Background</w:t>
      </w:r>
    </w:p>
    <w:p w:rsidR="00B705B8" w:rsidRPr="00447888" w:rsidRDefault="00B705B8" w:rsidP="009B1507">
      <w:pPr>
        <w:rPr>
          <w:rFonts w:cs="Arial"/>
          <w:b/>
        </w:rPr>
      </w:pPr>
    </w:p>
    <w:p w:rsidR="000C4857" w:rsidRPr="00447888" w:rsidRDefault="000D1CF2" w:rsidP="009B1507">
      <w:pPr>
        <w:pStyle w:val="ParaStyle1"/>
      </w:pPr>
      <w:r w:rsidRPr="00447888">
        <w:t xml:space="preserve">The </w:t>
      </w:r>
      <w:r w:rsidR="005E601C" w:rsidRPr="00447888">
        <w:t xml:space="preserve">Diamond Place site includes </w:t>
      </w:r>
      <w:r w:rsidR="00FE593F" w:rsidRPr="00447888">
        <w:t>the Summertown car park and the Ferry car park, which are both public car parks</w:t>
      </w:r>
      <w:r w:rsidR="005E601C" w:rsidRPr="00447888">
        <w:t xml:space="preserve"> owned and managed </w:t>
      </w:r>
      <w:r w:rsidR="008C294B" w:rsidRPr="00447888">
        <w:t>by the City Council. They have an important role in supporting the district centre and local facilities such as the Ferry Leisure Centre</w:t>
      </w:r>
      <w:r w:rsidR="005E601C" w:rsidRPr="00447888">
        <w:t xml:space="preserve">. </w:t>
      </w:r>
      <w:r w:rsidR="008C294B" w:rsidRPr="00447888">
        <w:t>The site</w:t>
      </w:r>
      <w:r w:rsidR="005E601C" w:rsidRPr="00447888">
        <w:t xml:space="preserve"> also includes </w:t>
      </w:r>
      <w:proofErr w:type="spellStart"/>
      <w:r w:rsidR="005E601C" w:rsidRPr="00447888">
        <w:t>Ewert</w:t>
      </w:r>
      <w:proofErr w:type="spellEnd"/>
      <w:r w:rsidR="005E601C" w:rsidRPr="00447888">
        <w:t xml:space="preserve"> House and its associated car park. This is owned </w:t>
      </w:r>
      <w:r w:rsidR="000C4857" w:rsidRPr="00447888">
        <w:t xml:space="preserve">and used </w:t>
      </w:r>
      <w:r w:rsidR="005E601C" w:rsidRPr="00447888">
        <w:t xml:space="preserve">by the University of Oxford </w:t>
      </w:r>
      <w:r w:rsidR="000C4857" w:rsidRPr="00447888">
        <w:t>for</w:t>
      </w:r>
      <w:r w:rsidR="0041089B" w:rsidRPr="00447888">
        <w:t>, amongst other things,</w:t>
      </w:r>
      <w:r w:rsidR="005E601C" w:rsidRPr="00447888">
        <w:t xml:space="preserve"> examination</w:t>
      </w:r>
      <w:r w:rsidR="000C4857" w:rsidRPr="00447888">
        <w:t>s</w:t>
      </w:r>
      <w:r w:rsidR="0041089B" w:rsidRPr="00447888">
        <w:t xml:space="preserve">, courses of the </w:t>
      </w:r>
      <w:r w:rsidR="008C294B" w:rsidRPr="00447888">
        <w:t>Department of Continuing Education</w:t>
      </w:r>
      <w:r w:rsidR="005E601C" w:rsidRPr="00447888">
        <w:t xml:space="preserve"> and Isis </w:t>
      </w:r>
      <w:r w:rsidR="008C294B" w:rsidRPr="00447888">
        <w:t>I</w:t>
      </w:r>
      <w:r w:rsidR="005E601C" w:rsidRPr="00447888">
        <w:t>nnovation</w:t>
      </w:r>
      <w:r w:rsidR="00307F72">
        <w:t xml:space="preserve"> Ltd</w:t>
      </w:r>
      <w:r w:rsidRPr="00447888">
        <w:t xml:space="preserve">. </w:t>
      </w:r>
    </w:p>
    <w:p w:rsidR="000D1CF2" w:rsidRPr="00447888" w:rsidRDefault="0041089B" w:rsidP="000C4857">
      <w:pPr>
        <w:pStyle w:val="ParaStyle1"/>
      </w:pPr>
      <w:r w:rsidRPr="00447888">
        <w:t xml:space="preserve">The site is in the designated district centre and offers an excellent opportunity for development. The site has been </w:t>
      </w:r>
      <w:r w:rsidR="000D1CF2" w:rsidRPr="00447888">
        <w:t>allocated in Local Plan documents for a number of years.</w:t>
      </w:r>
      <w:r w:rsidR="00C03CDF" w:rsidRPr="00447888">
        <w:t xml:space="preserve"> </w:t>
      </w:r>
      <w:r w:rsidR="000D1CF2" w:rsidRPr="00447888">
        <w:t>Most recently the site was allocated under Policy SP</w:t>
      </w:r>
      <w:r w:rsidRPr="00447888">
        <w:t>14 of</w:t>
      </w:r>
      <w:r w:rsidR="000D1CF2" w:rsidRPr="00447888">
        <w:t xml:space="preserve"> the Sites and Housing Plan</w:t>
      </w:r>
      <w:r w:rsidR="008C294B" w:rsidRPr="00447888">
        <w:t>,</w:t>
      </w:r>
      <w:r w:rsidR="000D1CF2" w:rsidRPr="00447888">
        <w:t xml:space="preserve"> adopted by Council in February 2013. This policy allocates the </w:t>
      </w:r>
      <w:r w:rsidRPr="00447888">
        <w:t xml:space="preserve">Diamond Place </w:t>
      </w:r>
      <w:r w:rsidR="008C294B" w:rsidRPr="00447888">
        <w:t xml:space="preserve">and </w:t>
      </w:r>
      <w:proofErr w:type="spellStart"/>
      <w:r w:rsidRPr="00447888">
        <w:t>Ewert</w:t>
      </w:r>
      <w:proofErr w:type="spellEnd"/>
      <w:r w:rsidRPr="00447888">
        <w:t xml:space="preserve"> House</w:t>
      </w:r>
      <w:r w:rsidR="000D1CF2" w:rsidRPr="00447888">
        <w:t xml:space="preserve"> site for a</w:t>
      </w:r>
      <w:r w:rsidRPr="00447888">
        <w:t xml:space="preserve"> retail-led</w:t>
      </w:r>
      <w:r w:rsidR="000D1CF2" w:rsidRPr="00447888">
        <w:t xml:space="preserve"> mixed-use development. </w:t>
      </w:r>
      <w:r w:rsidRPr="00447888">
        <w:t xml:space="preserve">As well as retail, other potentially suitable uses for the site are listed </w:t>
      </w:r>
      <w:r w:rsidR="008C294B" w:rsidRPr="00447888">
        <w:t xml:space="preserve">by the policy </w:t>
      </w:r>
      <w:r w:rsidRPr="00447888">
        <w:t>as being</w:t>
      </w:r>
      <w:r w:rsidR="001B331E" w:rsidRPr="00447888">
        <w:t xml:space="preserve"> residential, employment, student accommodation and other town centre uses. </w:t>
      </w:r>
    </w:p>
    <w:p w:rsidR="008B0BDA" w:rsidRPr="00447888" w:rsidRDefault="001B331E" w:rsidP="000C4857">
      <w:pPr>
        <w:pStyle w:val="ParaStyle1"/>
        <w:rPr>
          <w:b/>
        </w:rPr>
      </w:pPr>
      <w:r w:rsidRPr="00447888">
        <w:t xml:space="preserve">Because of the importance of the site to the local area and the significant potential of the site to bring benefits to the area if developed carefully, the City Council </w:t>
      </w:r>
      <w:r w:rsidR="007F0E03" w:rsidRPr="00447888">
        <w:t xml:space="preserve">has chosen </w:t>
      </w:r>
      <w:r w:rsidR="008C294B" w:rsidRPr="00447888">
        <w:t>to publish a</w:t>
      </w:r>
      <w:r w:rsidRPr="00447888">
        <w:t xml:space="preserve"> development brief in the form of a Supplementary Planning Document. </w:t>
      </w:r>
      <w:r w:rsidR="009B3F00" w:rsidRPr="00447888">
        <w:t xml:space="preserve">It </w:t>
      </w:r>
      <w:r w:rsidR="007F0E03" w:rsidRPr="00447888">
        <w:t xml:space="preserve">is to </w:t>
      </w:r>
      <w:r w:rsidR="009B3F00" w:rsidRPr="00447888">
        <w:t xml:space="preserve">give </w:t>
      </w:r>
      <w:r w:rsidR="008C294B" w:rsidRPr="00447888">
        <w:t xml:space="preserve">further </w:t>
      </w:r>
      <w:r w:rsidR="009B3F00" w:rsidRPr="00447888">
        <w:t xml:space="preserve">detail to existing adopted policies. It </w:t>
      </w:r>
      <w:r w:rsidR="007F0E03" w:rsidRPr="00447888">
        <w:t xml:space="preserve">seeks to </w:t>
      </w:r>
      <w:r w:rsidR="009B3F00" w:rsidRPr="00447888">
        <w:t>provide guidance for whoever develops the site and provide certainty for the public and developers.</w:t>
      </w:r>
      <w:r w:rsidR="000C4857" w:rsidRPr="00447888">
        <w:t xml:space="preserve"> I</w:t>
      </w:r>
      <w:r w:rsidR="009B3F00" w:rsidRPr="00447888">
        <w:t xml:space="preserve">t should help </w:t>
      </w:r>
      <w:r w:rsidR="000C4857" w:rsidRPr="00447888">
        <w:t>make any</w:t>
      </w:r>
      <w:r w:rsidR="009B3F00" w:rsidRPr="00447888">
        <w:t xml:space="preserve"> planning application move smoothly through the planning process because the potential for conflicts and objections is minimised. </w:t>
      </w:r>
    </w:p>
    <w:p w:rsidR="008B0BDA" w:rsidRPr="00447888" w:rsidRDefault="00A46C41" w:rsidP="008B0BDA">
      <w:pPr>
        <w:pStyle w:val="ParaStyle1"/>
        <w:rPr>
          <w:b/>
        </w:rPr>
      </w:pPr>
      <w:r>
        <w:t xml:space="preserve">There have been three stages of consultation, most recently on the draft SPD during March and April. </w:t>
      </w:r>
      <w:r w:rsidR="008B0BDA" w:rsidRPr="00447888">
        <w:t xml:space="preserve">CEB is </w:t>
      </w:r>
      <w:r>
        <w:t xml:space="preserve">now </w:t>
      </w:r>
      <w:r w:rsidR="008B0BDA" w:rsidRPr="00447888">
        <w:t xml:space="preserve">asked to </w:t>
      </w:r>
      <w:r>
        <w:t xml:space="preserve">adopt </w:t>
      </w:r>
      <w:r w:rsidR="008B0BDA" w:rsidRPr="00447888">
        <w:t xml:space="preserve">the SPD. </w:t>
      </w:r>
    </w:p>
    <w:p w:rsidR="009B1507" w:rsidRDefault="009B1507" w:rsidP="008C294B">
      <w:pPr>
        <w:pStyle w:val="ParaStyle1"/>
        <w:numPr>
          <w:ilvl w:val="0"/>
          <w:numId w:val="0"/>
        </w:numPr>
        <w:spacing w:after="0"/>
        <w:rPr>
          <w:b/>
        </w:rPr>
      </w:pPr>
      <w:r w:rsidRPr="00447888">
        <w:rPr>
          <w:b/>
        </w:rPr>
        <w:t>Consultation</w:t>
      </w:r>
    </w:p>
    <w:p w:rsidR="00B705B8" w:rsidRPr="00447888" w:rsidRDefault="00B705B8" w:rsidP="008C294B">
      <w:pPr>
        <w:pStyle w:val="ParaStyle1"/>
        <w:numPr>
          <w:ilvl w:val="0"/>
          <w:numId w:val="0"/>
        </w:numPr>
        <w:spacing w:after="0"/>
        <w:rPr>
          <w:b/>
        </w:rPr>
      </w:pPr>
    </w:p>
    <w:p w:rsidR="008C294B" w:rsidRPr="009B070D" w:rsidRDefault="001D32A6" w:rsidP="009B1507">
      <w:pPr>
        <w:pStyle w:val="ParaStyle1"/>
        <w:spacing w:after="0"/>
        <w:rPr>
          <w:b/>
        </w:rPr>
      </w:pPr>
      <w:r w:rsidRPr="00447888">
        <w:t xml:space="preserve">It is important that the SPD </w:t>
      </w:r>
      <w:r w:rsidR="00D63B28">
        <w:t>includes</w:t>
      </w:r>
      <w:r w:rsidRPr="00447888">
        <w:t xml:space="preserve"> a vision for the site </w:t>
      </w:r>
      <w:r w:rsidR="007F0E03" w:rsidRPr="00447888">
        <w:t xml:space="preserve">that is </w:t>
      </w:r>
      <w:r w:rsidRPr="00447888">
        <w:t xml:space="preserve">shared by the local community and the City Council. </w:t>
      </w:r>
      <w:r w:rsidR="00D63B28">
        <w:t>Three rounds of consultation have taken place, ensuring the involvement of the local community, including the Summertown St Margaret’s Neighbourhood Forum</w:t>
      </w:r>
      <w:r w:rsidR="009B3F00" w:rsidRPr="00447888">
        <w:t xml:space="preserve">. </w:t>
      </w:r>
      <w:r w:rsidR="003D20C7" w:rsidRPr="00447888">
        <w:t xml:space="preserve">The first consultation helped to identify options for development of the site. The second consultation </w:t>
      </w:r>
      <w:r w:rsidR="008C294B" w:rsidRPr="00447888">
        <w:t xml:space="preserve">asked for comments on a </w:t>
      </w:r>
      <w:r w:rsidR="003D20C7" w:rsidRPr="00447888">
        <w:t xml:space="preserve">document </w:t>
      </w:r>
      <w:r w:rsidR="008C294B" w:rsidRPr="00447888">
        <w:t xml:space="preserve">that </w:t>
      </w:r>
      <w:r w:rsidR="003D20C7" w:rsidRPr="00447888">
        <w:t>set out preferred options.</w:t>
      </w:r>
      <w:r w:rsidR="006B40D5" w:rsidRPr="00447888">
        <w:t xml:space="preserve"> Officers </w:t>
      </w:r>
      <w:r w:rsidR="008C294B" w:rsidRPr="00447888">
        <w:t>have been</w:t>
      </w:r>
      <w:r w:rsidR="006B40D5" w:rsidRPr="00447888">
        <w:t xml:space="preserve"> in contact with</w:t>
      </w:r>
      <w:r w:rsidR="003D20C7" w:rsidRPr="00447888">
        <w:t xml:space="preserve"> </w:t>
      </w:r>
      <w:r w:rsidR="008C294B" w:rsidRPr="00447888">
        <w:t xml:space="preserve">other stakeholders, including </w:t>
      </w:r>
      <w:r w:rsidR="003D20C7" w:rsidRPr="00447888">
        <w:t>Oxfordshire County Council about highways issues,</w:t>
      </w:r>
      <w:r w:rsidR="008C294B" w:rsidRPr="00447888">
        <w:t xml:space="preserve"> Local GPs who are interested in the potential to relocate to the site,</w:t>
      </w:r>
      <w:r w:rsidR="003D20C7" w:rsidRPr="00447888">
        <w:t xml:space="preserve"> Summer Fields School which neighbours the si</w:t>
      </w:r>
      <w:r w:rsidR="000C4857" w:rsidRPr="00447888">
        <w:t>te and the University of Oxford</w:t>
      </w:r>
      <w:r w:rsidR="00BF5A0E">
        <w:t xml:space="preserve"> who own approximately half of the site</w:t>
      </w:r>
      <w:r w:rsidR="003D20C7" w:rsidRPr="00447888">
        <w:t xml:space="preserve">. </w:t>
      </w:r>
      <w:r w:rsidR="00EC143F">
        <w:t>From 27</w:t>
      </w:r>
      <w:r w:rsidR="00EC143F" w:rsidRPr="00EC143F">
        <w:rPr>
          <w:vertAlign w:val="superscript"/>
        </w:rPr>
        <w:t>th</w:t>
      </w:r>
      <w:r w:rsidR="00EC143F">
        <w:t xml:space="preserve"> February until 17</w:t>
      </w:r>
      <w:r w:rsidR="00EC143F" w:rsidRPr="00EC143F">
        <w:rPr>
          <w:vertAlign w:val="superscript"/>
        </w:rPr>
        <w:t>th</w:t>
      </w:r>
      <w:r w:rsidR="00EC143F">
        <w:t xml:space="preserve"> April we consulted on the draft SPD. The comments received are summarised in </w:t>
      </w:r>
      <w:r w:rsidR="00EC143F" w:rsidRPr="00FC15D5">
        <w:t xml:space="preserve">Appendix 2. </w:t>
      </w:r>
    </w:p>
    <w:p w:rsidR="009B070D" w:rsidRPr="00FC15D5" w:rsidRDefault="009B070D" w:rsidP="009B070D">
      <w:pPr>
        <w:pStyle w:val="ParaStyle1"/>
        <w:numPr>
          <w:ilvl w:val="0"/>
          <w:numId w:val="0"/>
        </w:numPr>
        <w:spacing w:after="0"/>
        <w:ind w:left="360"/>
        <w:rPr>
          <w:b/>
        </w:rPr>
      </w:pPr>
    </w:p>
    <w:p w:rsidR="00CA6E76" w:rsidRPr="003178E8" w:rsidRDefault="00CA6E76" w:rsidP="009B1507">
      <w:pPr>
        <w:pStyle w:val="ParaStyle1"/>
        <w:spacing w:after="0"/>
        <w:rPr>
          <w:b/>
        </w:rPr>
      </w:pPr>
      <w:r>
        <w:t xml:space="preserve">All comments were considered and a response is given. Some changes </w:t>
      </w:r>
      <w:r w:rsidR="00EF7C74">
        <w:t xml:space="preserve">to the consultation draft of the SPD </w:t>
      </w:r>
      <w:r>
        <w:t xml:space="preserve">are proposed as a result of the comments received. Changes are proposed that add further clarification or </w:t>
      </w:r>
      <w:r>
        <w:lastRenderedPageBreak/>
        <w:t xml:space="preserve">detail to the SPD. </w:t>
      </w:r>
      <w:r w:rsidR="00EF7C74">
        <w:t>No significant or fundamental changes were considered necessary based on the comments received. The</w:t>
      </w:r>
      <w:r w:rsidR="003178E8">
        <w:t xml:space="preserve"> proposed changes are explained. </w:t>
      </w:r>
      <w:r w:rsidR="00B04339">
        <w:t xml:space="preserve">The tracked changes are shown in Appendix 1 and explained in Appendix 2. As well as changes resulting from the consultation, there are also updates to the front section of Appendix 1 and some small changes relating to temporary parking. </w:t>
      </w:r>
      <w:r w:rsidR="003178E8">
        <w:t>In summary, the most substantive changes are:</w:t>
      </w:r>
    </w:p>
    <w:p w:rsidR="00D75118" w:rsidRDefault="00D75118" w:rsidP="00D75118">
      <w:pPr>
        <w:pStyle w:val="ParaStyle1"/>
        <w:numPr>
          <w:ilvl w:val="0"/>
          <w:numId w:val="14"/>
        </w:numPr>
        <w:spacing w:after="0"/>
      </w:pPr>
      <w:r>
        <w:t>New text to say it is vital that there is continued provision of community facilities in the area during construction and that during the transition period the existing community association will be supported and maintained</w:t>
      </w:r>
      <w:r w:rsidRPr="00D75118">
        <w:t xml:space="preserve"> </w:t>
      </w:r>
    </w:p>
    <w:p w:rsidR="00D75118" w:rsidRDefault="00D75118" w:rsidP="00D75118">
      <w:pPr>
        <w:pStyle w:val="ParaStyle1"/>
        <w:numPr>
          <w:ilvl w:val="0"/>
          <w:numId w:val="14"/>
        </w:numPr>
        <w:spacing w:after="0"/>
      </w:pPr>
      <w:r>
        <w:t>Clarification that new community facilities must be available for the existing community association to run and should be equivalent to the size of the existing community centre, should include a main hall to accommodate a range of uses and be suitable for hiring out for functions</w:t>
      </w:r>
    </w:p>
    <w:p w:rsidR="00D75118" w:rsidRDefault="00D75118" w:rsidP="00D75118">
      <w:pPr>
        <w:pStyle w:val="ParaStyle1"/>
        <w:numPr>
          <w:ilvl w:val="0"/>
          <w:numId w:val="14"/>
        </w:numPr>
        <w:spacing w:after="0"/>
      </w:pPr>
      <w:r>
        <w:t>Priority should be given to pedestrian and cyclist safety and ease of use of the Diamond Place/Banbury Road junction as well as a high quality route through the site both during constructi</w:t>
      </w:r>
      <w:r w:rsidR="004A50FE">
        <w:t>on and in the completed scheme</w:t>
      </w:r>
    </w:p>
    <w:p w:rsidR="004A50FE" w:rsidRDefault="004A50FE" w:rsidP="00D75118">
      <w:pPr>
        <w:pStyle w:val="ParaStyle1"/>
        <w:numPr>
          <w:ilvl w:val="0"/>
          <w:numId w:val="14"/>
        </w:numPr>
        <w:spacing w:after="0"/>
      </w:pPr>
      <w:r>
        <w:t>The potential for there to be views out of the higher buildings on the site is highlighted</w:t>
      </w:r>
    </w:p>
    <w:p w:rsidR="00D75118" w:rsidRDefault="00D75118" w:rsidP="00D75118">
      <w:pPr>
        <w:pStyle w:val="ParaStyle1"/>
        <w:numPr>
          <w:ilvl w:val="0"/>
          <w:numId w:val="14"/>
        </w:numPr>
        <w:spacing w:after="0"/>
      </w:pPr>
      <w:r>
        <w:t>A change to increase the flexibility of how any private residential parking spaces are provided (the total maximum should remain at the equivalent o</w:t>
      </w:r>
      <w:r w:rsidR="004A50FE">
        <w:t>f 2-spaces per 3 bed dwellings)</w:t>
      </w:r>
    </w:p>
    <w:p w:rsidR="00D75118" w:rsidRDefault="00D75118" w:rsidP="00D75118">
      <w:pPr>
        <w:pStyle w:val="ParaStyle1"/>
        <w:numPr>
          <w:ilvl w:val="0"/>
          <w:numId w:val="14"/>
        </w:numPr>
        <w:spacing w:after="0"/>
      </w:pPr>
      <w:r>
        <w:t xml:space="preserve">New text is added to highlight the future possibility of a connection to the </w:t>
      </w:r>
      <w:proofErr w:type="spellStart"/>
      <w:r>
        <w:t>Sustrans</w:t>
      </w:r>
      <w:proofErr w:type="spellEnd"/>
      <w:r>
        <w:t xml:space="preserve"> cycle route to the east of Summer Fields School’s athletics track site as part of the final high quality cycle and pedestrian route through the site </w:t>
      </w:r>
    </w:p>
    <w:p w:rsidR="003178E8" w:rsidRDefault="003178E8" w:rsidP="00C40431">
      <w:pPr>
        <w:pStyle w:val="ParaStyle1"/>
        <w:numPr>
          <w:ilvl w:val="0"/>
          <w:numId w:val="14"/>
        </w:numPr>
        <w:spacing w:after="0"/>
      </w:pPr>
      <w:r>
        <w:t xml:space="preserve">Additional text to outline the importance of internal design of the car park to promote ease of use and the perception of safety. </w:t>
      </w:r>
    </w:p>
    <w:p w:rsidR="003178E8" w:rsidRDefault="003178E8" w:rsidP="00C40431">
      <w:pPr>
        <w:pStyle w:val="ParaStyle1"/>
        <w:numPr>
          <w:ilvl w:val="0"/>
          <w:numId w:val="14"/>
        </w:numPr>
        <w:spacing w:after="0"/>
      </w:pPr>
      <w:r>
        <w:t>Additional text to encourage electric charging points and to mention that the car club space should be re-provided, with potential for more spaces investigated</w:t>
      </w:r>
    </w:p>
    <w:p w:rsidR="003178E8" w:rsidRDefault="003178E8" w:rsidP="00C40431">
      <w:pPr>
        <w:pStyle w:val="ParaStyle1"/>
        <w:numPr>
          <w:ilvl w:val="0"/>
          <w:numId w:val="14"/>
        </w:numPr>
        <w:spacing w:after="0"/>
      </w:pPr>
      <w:r>
        <w:t>New text about the need for toilets and recycling facilities to remain on the site</w:t>
      </w:r>
    </w:p>
    <w:p w:rsidR="003178E8" w:rsidRDefault="000F6A05" w:rsidP="00C40431">
      <w:pPr>
        <w:pStyle w:val="ParaStyle1"/>
        <w:numPr>
          <w:ilvl w:val="0"/>
          <w:numId w:val="14"/>
        </w:numPr>
        <w:spacing w:after="0"/>
      </w:pPr>
      <w:r>
        <w:t>New text to clarify that at least current cycle parking standards will apply and to reference documents containing these standards</w:t>
      </w:r>
    </w:p>
    <w:p w:rsidR="00EC143F" w:rsidRPr="00EC143F" w:rsidRDefault="00EC143F" w:rsidP="00EC143F">
      <w:pPr>
        <w:pStyle w:val="ParaStyle1"/>
        <w:numPr>
          <w:ilvl w:val="0"/>
          <w:numId w:val="0"/>
        </w:numPr>
        <w:spacing w:after="0"/>
        <w:ind w:left="360"/>
        <w:rPr>
          <w:b/>
        </w:rPr>
      </w:pPr>
    </w:p>
    <w:p w:rsidR="009B1507" w:rsidRDefault="009B1507" w:rsidP="009B1507">
      <w:pPr>
        <w:rPr>
          <w:rFonts w:cs="Arial"/>
          <w:b/>
        </w:rPr>
      </w:pPr>
      <w:r w:rsidRPr="00447888">
        <w:rPr>
          <w:rFonts w:cs="Arial"/>
          <w:b/>
        </w:rPr>
        <w:t>Content of the SPD</w:t>
      </w:r>
    </w:p>
    <w:p w:rsidR="00B705B8" w:rsidRPr="00447888" w:rsidRDefault="00B705B8" w:rsidP="009B1507">
      <w:pPr>
        <w:rPr>
          <w:rFonts w:cs="Arial"/>
          <w:b/>
        </w:rPr>
      </w:pPr>
    </w:p>
    <w:p w:rsidR="005902F3" w:rsidRPr="00447888" w:rsidRDefault="005902F3" w:rsidP="00966EBF">
      <w:pPr>
        <w:pStyle w:val="ParaStyle1"/>
      </w:pPr>
      <w:r w:rsidRPr="00447888">
        <w:t xml:space="preserve">The SPD </w:t>
      </w:r>
      <w:r w:rsidR="003D20C7" w:rsidRPr="00447888">
        <w:t>is informed by the public consultation, local and national</w:t>
      </w:r>
      <w:r w:rsidR="00476D0F" w:rsidRPr="00447888">
        <w:t xml:space="preserve"> planning</w:t>
      </w:r>
      <w:r w:rsidR="003D20C7" w:rsidRPr="00447888">
        <w:t xml:space="preserve"> policy</w:t>
      </w:r>
      <w:r w:rsidR="00BF5A0E">
        <w:t>, in particular SP14 of the Sites and Housing P</w:t>
      </w:r>
      <w:r w:rsidR="007D2A8A">
        <w:t>l</w:t>
      </w:r>
      <w:r w:rsidR="00BF5A0E">
        <w:t>an,</w:t>
      </w:r>
      <w:r w:rsidR="003D20C7" w:rsidRPr="00447888">
        <w:t xml:space="preserve"> and an understanding of the </w:t>
      </w:r>
      <w:r w:rsidR="00476D0F" w:rsidRPr="00447888">
        <w:t xml:space="preserve">site and its </w:t>
      </w:r>
      <w:r w:rsidR="003D20C7" w:rsidRPr="00447888">
        <w:t xml:space="preserve">context. </w:t>
      </w:r>
      <w:r w:rsidR="00476D0F" w:rsidRPr="00447888">
        <w:t xml:space="preserve">The City Council’s Character Appraisal Toolkit was used to aid understanding of the site. The results of this are shown in </w:t>
      </w:r>
      <w:r w:rsidR="005A3F82" w:rsidRPr="00447888">
        <w:t>a b</w:t>
      </w:r>
      <w:r w:rsidR="00476D0F" w:rsidRPr="00447888">
        <w:t xml:space="preserve">ackground </w:t>
      </w:r>
      <w:r w:rsidR="005A3F82" w:rsidRPr="00447888">
        <w:t xml:space="preserve">paper, which is attached as Appendix </w:t>
      </w:r>
      <w:r w:rsidR="00DC1203" w:rsidRPr="00447888">
        <w:t>3.</w:t>
      </w:r>
      <w:r w:rsidR="00DC1203" w:rsidRPr="00447888">
        <w:rPr>
          <w:b/>
          <w:i/>
        </w:rPr>
        <w:t xml:space="preserve"> </w:t>
      </w:r>
    </w:p>
    <w:p w:rsidR="00696012" w:rsidRPr="00447888" w:rsidRDefault="005A3F82" w:rsidP="00696012">
      <w:pPr>
        <w:pStyle w:val="ParaStyle1"/>
      </w:pPr>
      <w:r w:rsidRPr="00447888">
        <w:t xml:space="preserve">The SPD sets out a framework for uses </w:t>
      </w:r>
      <w:r w:rsidR="007F0E03" w:rsidRPr="00447888">
        <w:t xml:space="preserve">that could be provided </w:t>
      </w:r>
      <w:r w:rsidRPr="00447888">
        <w:t>on the site</w:t>
      </w:r>
      <w:r w:rsidR="00BA03E5" w:rsidRPr="00447888">
        <w:t>;</w:t>
      </w:r>
      <w:r w:rsidRPr="00447888">
        <w:t xml:space="preserve"> access and movement into and around the site</w:t>
      </w:r>
      <w:r w:rsidR="00BA03E5" w:rsidRPr="00447888">
        <w:t>;</w:t>
      </w:r>
      <w:r w:rsidRPr="00447888">
        <w:t xml:space="preserve"> and the design and layout of the site. An indicative block plan is included to show how the proposed uses fit together on the site and where they will be </w:t>
      </w:r>
      <w:r w:rsidR="007F0E03" w:rsidRPr="00447888">
        <w:t xml:space="preserve">best </w:t>
      </w:r>
      <w:r w:rsidRPr="00447888">
        <w:t xml:space="preserve">located, </w:t>
      </w:r>
      <w:r w:rsidR="00DC1203" w:rsidRPr="00447888">
        <w:t>as well as</w:t>
      </w:r>
      <w:r w:rsidRPr="00447888">
        <w:t xml:space="preserve"> the proposed routes into and around the site. </w:t>
      </w:r>
    </w:p>
    <w:p w:rsidR="00BA03E5" w:rsidRPr="00447888" w:rsidRDefault="00BA03E5" w:rsidP="00696012">
      <w:pPr>
        <w:pStyle w:val="ParaStyle1"/>
      </w:pPr>
      <w:r w:rsidRPr="00447888">
        <w:t xml:space="preserve">Some of the key expectations set out in the SPD are outlined below. The </w:t>
      </w:r>
      <w:r w:rsidR="00CA6E76">
        <w:t xml:space="preserve">adoption version of the </w:t>
      </w:r>
      <w:r w:rsidRPr="00447888">
        <w:t xml:space="preserve">SPD (Appendix 1) should be referred to for full details. </w:t>
      </w:r>
    </w:p>
    <w:p w:rsidR="00696012" w:rsidRPr="00447888" w:rsidRDefault="009A4214" w:rsidP="00696012">
      <w:pPr>
        <w:pStyle w:val="ParaStyle1"/>
        <w:numPr>
          <w:ilvl w:val="0"/>
          <w:numId w:val="0"/>
        </w:numPr>
        <w:spacing w:after="120"/>
        <w:rPr>
          <w:u w:val="single"/>
        </w:rPr>
      </w:pPr>
      <w:r w:rsidRPr="00447888">
        <w:rPr>
          <w:u w:val="single"/>
        </w:rPr>
        <w:t>Uses</w:t>
      </w:r>
    </w:p>
    <w:p w:rsidR="00681E28" w:rsidRPr="00447888" w:rsidRDefault="009A4214" w:rsidP="00696012">
      <w:pPr>
        <w:pStyle w:val="ParaStyle1"/>
      </w:pPr>
      <w:r w:rsidRPr="00447888">
        <w:t>The SPD says that the site should include</w:t>
      </w:r>
      <w:r w:rsidR="00681E28" w:rsidRPr="00447888">
        <w:t xml:space="preserve">: </w:t>
      </w:r>
    </w:p>
    <w:p w:rsidR="00681E28" w:rsidRPr="00447888" w:rsidRDefault="009A4214" w:rsidP="00447888">
      <w:pPr>
        <w:pStyle w:val="ParaStyle1"/>
        <w:numPr>
          <w:ilvl w:val="0"/>
          <w:numId w:val="11"/>
        </w:numPr>
      </w:pPr>
      <w:r w:rsidRPr="00447888">
        <w:t xml:space="preserve"> approximately 1000m</w:t>
      </w:r>
      <w:r w:rsidRPr="00447888">
        <w:rPr>
          <w:vertAlign w:val="superscript"/>
        </w:rPr>
        <w:t>2</w:t>
      </w:r>
      <w:r w:rsidRPr="00447888">
        <w:t xml:space="preserve"> of ground floor retail in more than one unit</w:t>
      </w:r>
      <w:r w:rsidR="00261195">
        <w:t>;</w:t>
      </w:r>
      <w:r w:rsidRPr="00447888">
        <w:t xml:space="preserve"> </w:t>
      </w:r>
    </w:p>
    <w:p w:rsidR="000A28A7" w:rsidRDefault="000A28A7" w:rsidP="00447888">
      <w:pPr>
        <w:pStyle w:val="ParaStyle1"/>
        <w:numPr>
          <w:ilvl w:val="0"/>
          <w:numId w:val="11"/>
        </w:numPr>
      </w:pPr>
      <w:r>
        <w:t>E</w:t>
      </w:r>
      <w:r w:rsidRPr="00447888">
        <w:t>xtension of the leisure centre</w:t>
      </w:r>
      <w:r>
        <w:t>, replacing community faciliti</w:t>
      </w:r>
      <w:r w:rsidR="00261195">
        <w:t>es and creating a community hub;</w:t>
      </w:r>
      <w:r>
        <w:t xml:space="preserve"> </w:t>
      </w:r>
    </w:p>
    <w:p w:rsidR="000A28A7" w:rsidRDefault="00C128A3" w:rsidP="00447888">
      <w:pPr>
        <w:pStyle w:val="ParaStyle1"/>
        <w:numPr>
          <w:ilvl w:val="0"/>
          <w:numId w:val="11"/>
        </w:numPr>
      </w:pPr>
      <w:proofErr w:type="gramStart"/>
      <w:r w:rsidRPr="00447888">
        <w:t>a</w:t>
      </w:r>
      <w:proofErr w:type="gramEnd"/>
      <w:r w:rsidRPr="00447888">
        <w:t xml:space="preserve"> health centre. GPs at the two practices on Banbury Road wish to locate to a modern new centre</w:t>
      </w:r>
      <w:r w:rsidR="000A28A7">
        <w:t>;</w:t>
      </w:r>
    </w:p>
    <w:p w:rsidR="000A28A7" w:rsidRDefault="000A28A7" w:rsidP="00447888">
      <w:pPr>
        <w:pStyle w:val="ParaStyle1"/>
        <w:numPr>
          <w:ilvl w:val="0"/>
          <w:numId w:val="11"/>
        </w:numPr>
      </w:pPr>
      <w:r>
        <w:t>r</w:t>
      </w:r>
      <w:r w:rsidR="00DC1203" w:rsidRPr="00447888">
        <w:t>eplacement of the existing number of public parking spaces, with additional spaces in</w:t>
      </w:r>
      <w:r w:rsidR="00BA03E5" w:rsidRPr="00447888">
        <w:t xml:space="preserve"> a</w:t>
      </w:r>
      <w:r w:rsidR="00DC1203" w:rsidRPr="00447888">
        <w:t xml:space="preserve"> multi-storey car park</w:t>
      </w:r>
      <w:r w:rsidR="00261195">
        <w:t>;</w:t>
      </w:r>
      <w:r w:rsidR="00DC1203" w:rsidRPr="00447888">
        <w:t xml:space="preserve"> </w:t>
      </w:r>
    </w:p>
    <w:p w:rsidR="00681E28" w:rsidRPr="00447888" w:rsidRDefault="000A28A7" w:rsidP="00447888">
      <w:pPr>
        <w:pStyle w:val="ParaStyle1"/>
        <w:numPr>
          <w:ilvl w:val="0"/>
          <w:numId w:val="11"/>
        </w:numPr>
      </w:pPr>
      <w:r>
        <w:t>r</w:t>
      </w:r>
      <w:r w:rsidR="00C128A3" w:rsidRPr="00447888">
        <w:t xml:space="preserve">esidential </w:t>
      </w:r>
      <w:r w:rsidR="00A67F51" w:rsidRPr="00447888">
        <w:t xml:space="preserve">development </w:t>
      </w:r>
      <w:r w:rsidR="00681E28" w:rsidRPr="00447888">
        <w:t>with</w:t>
      </w:r>
      <w:r>
        <w:t xml:space="preserve"> potential for</w:t>
      </w:r>
      <w:r w:rsidR="00681E28" w:rsidRPr="00447888">
        <w:t xml:space="preserve"> some </w:t>
      </w:r>
      <w:r w:rsidR="00C128A3" w:rsidRPr="00447888">
        <w:t xml:space="preserve">elderly </w:t>
      </w:r>
      <w:r w:rsidR="00261195">
        <w:t xml:space="preserve">persons’ </w:t>
      </w:r>
      <w:r>
        <w:t>accommodation</w:t>
      </w:r>
      <w:r w:rsidR="00261195">
        <w:t>;</w:t>
      </w:r>
    </w:p>
    <w:p w:rsidR="00C128A3" w:rsidRPr="00447888" w:rsidRDefault="00C128A3" w:rsidP="00447888">
      <w:pPr>
        <w:pStyle w:val="ParaStyle1"/>
        <w:numPr>
          <w:ilvl w:val="0"/>
          <w:numId w:val="11"/>
        </w:numPr>
      </w:pPr>
      <w:proofErr w:type="gramStart"/>
      <w:r w:rsidRPr="00447888">
        <w:t>other</w:t>
      </w:r>
      <w:proofErr w:type="gramEnd"/>
      <w:r w:rsidRPr="00447888">
        <w:t xml:space="preserve"> uses m</w:t>
      </w:r>
      <w:r w:rsidR="00A67F51" w:rsidRPr="00447888">
        <w:t xml:space="preserve">ay be acceptable, including potentially new employment to replace that in </w:t>
      </w:r>
      <w:proofErr w:type="spellStart"/>
      <w:r w:rsidR="00A67F51" w:rsidRPr="00447888">
        <w:t>Ewert</w:t>
      </w:r>
      <w:proofErr w:type="spellEnd"/>
      <w:r w:rsidR="00A67F51" w:rsidRPr="00447888">
        <w:t xml:space="preserve"> House or new further education facilities. </w:t>
      </w:r>
    </w:p>
    <w:p w:rsidR="002F796B" w:rsidRPr="00447888" w:rsidRDefault="00A67F51" w:rsidP="00696012">
      <w:pPr>
        <w:pStyle w:val="ParaStyle1"/>
        <w:numPr>
          <w:ilvl w:val="0"/>
          <w:numId w:val="0"/>
        </w:numPr>
        <w:spacing w:after="120"/>
        <w:rPr>
          <w:u w:val="single"/>
        </w:rPr>
      </w:pPr>
      <w:r w:rsidRPr="00447888">
        <w:rPr>
          <w:u w:val="single"/>
        </w:rPr>
        <w:t>Access and movement</w:t>
      </w:r>
    </w:p>
    <w:p w:rsidR="00681E28" w:rsidRPr="00447888" w:rsidRDefault="00681E28" w:rsidP="00447888">
      <w:pPr>
        <w:pStyle w:val="ParaStyle1"/>
        <w:numPr>
          <w:ilvl w:val="0"/>
          <w:numId w:val="12"/>
        </w:numPr>
      </w:pPr>
      <w:r w:rsidRPr="00447888">
        <w:t>Diamond Place forms the main access into the site, and is extended across the site to give access to Summer Fields School’s site to the east of the Ferry car park</w:t>
      </w:r>
      <w:r w:rsidR="00821637">
        <w:t>;</w:t>
      </w:r>
      <w:r w:rsidRPr="00447888">
        <w:t xml:space="preserve"> </w:t>
      </w:r>
    </w:p>
    <w:p w:rsidR="00681E28" w:rsidRPr="00447888" w:rsidRDefault="00BA03E5" w:rsidP="00447888">
      <w:pPr>
        <w:pStyle w:val="ParaStyle1"/>
        <w:numPr>
          <w:ilvl w:val="0"/>
          <w:numId w:val="12"/>
        </w:numPr>
      </w:pPr>
      <w:r w:rsidRPr="00447888">
        <w:t>new</w:t>
      </w:r>
      <w:r w:rsidR="0020591B" w:rsidRPr="00447888">
        <w:t xml:space="preserve"> development should be connected to the surrounding area, including the pedestrian access to Cherwell School</w:t>
      </w:r>
      <w:r w:rsidR="00821637">
        <w:t>;</w:t>
      </w:r>
    </w:p>
    <w:p w:rsidR="00681E28" w:rsidRPr="00447888" w:rsidRDefault="0020591B" w:rsidP="00447888">
      <w:pPr>
        <w:pStyle w:val="ParaStyle1"/>
        <w:numPr>
          <w:ilvl w:val="0"/>
          <w:numId w:val="12"/>
        </w:numPr>
      </w:pPr>
      <w:r w:rsidRPr="00447888">
        <w:t xml:space="preserve"> </w:t>
      </w:r>
      <w:r w:rsidR="00BA03E5" w:rsidRPr="00447888">
        <w:t>to include</w:t>
      </w:r>
      <w:r w:rsidRPr="00447888">
        <w:t xml:space="preserve"> vehicle access to a potential temporary car park and future housing development on Summer Fields School’s site to the east of the Ferry car park</w:t>
      </w:r>
      <w:r w:rsidR="00BA03E5" w:rsidRPr="00447888">
        <w:t xml:space="preserve"> (currently the school’s athletics field)</w:t>
      </w:r>
      <w:r w:rsidRPr="00447888">
        <w:t xml:space="preserve">. </w:t>
      </w:r>
    </w:p>
    <w:p w:rsidR="005902F3" w:rsidRPr="00447888" w:rsidRDefault="00FE593F" w:rsidP="00696012">
      <w:pPr>
        <w:pStyle w:val="ParaStyle1"/>
        <w:numPr>
          <w:ilvl w:val="0"/>
          <w:numId w:val="0"/>
        </w:numPr>
        <w:spacing w:after="120"/>
        <w:rPr>
          <w:u w:val="single"/>
        </w:rPr>
      </w:pPr>
      <w:r w:rsidRPr="00447888">
        <w:rPr>
          <w:u w:val="single"/>
        </w:rPr>
        <w:t>Design and layout</w:t>
      </w:r>
    </w:p>
    <w:p w:rsidR="00681E28" w:rsidRPr="00447888" w:rsidRDefault="00FE593F" w:rsidP="00FE593F">
      <w:pPr>
        <w:pStyle w:val="ParaStyle1"/>
      </w:pPr>
      <w:r w:rsidRPr="00447888">
        <w:t xml:space="preserve">The SPD sets out principles to be followed in the design of the development, </w:t>
      </w:r>
    </w:p>
    <w:p w:rsidR="00681E28" w:rsidRPr="00447888" w:rsidRDefault="00FE593F" w:rsidP="00447888">
      <w:pPr>
        <w:pStyle w:val="ParaStyle1"/>
        <w:numPr>
          <w:ilvl w:val="0"/>
          <w:numId w:val="13"/>
        </w:numPr>
      </w:pPr>
      <w:proofErr w:type="gramStart"/>
      <w:r w:rsidRPr="00447888">
        <w:t>ensuring</w:t>
      </w:r>
      <w:proofErr w:type="gramEnd"/>
      <w:r w:rsidRPr="00447888">
        <w:t xml:space="preserve"> a high quality public realm. </w:t>
      </w:r>
    </w:p>
    <w:p w:rsidR="00681E28" w:rsidRPr="00447888" w:rsidRDefault="00681E28" w:rsidP="00447888">
      <w:pPr>
        <w:pStyle w:val="ParaStyle1"/>
        <w:numPr>
          <w:ilvl w:val="0"/>
          <w:numId w:val="13"/>
        </w:numPr>
      </w:pPr>
      <w:r w:rsidRPr="00447888">
        <w:t xml:space="preserve">The location of a ‘town square’, which would be a multi-functional space designed to appeal to all ages. </w:t>
      </w:r>
    </w:p>
    <w:p w:rsidR="00FE593F" w:rsidRPr="00447888" w:rsidRDefault="00FE593F" w:rsidP="00447888">
      <w:pPr>
        <w:pStyle w:val="ParaStyle1"/>
        <w:numPr>
          <w:ilvl w:val="0"/>
          <w:numId w:val="13"/>
        </w:numPr>
      </w:pPr>
      <w:r w:rsidRPr="00447888">
        <w:t xml:space="preserve">10% of the housing site area should be provided as public open space. </w:t>
      </w:r>
    </w:p>
    <w:p w:rsidR="006C5110" w:rsidRDefault="006C5110" w:rsidP="006C5110">
      <w:pPr>
        <w:pStyle w:val="ParaStyle1"/>
        <w:numPr>
          <w:ilvl w:val="0"/>
          <w:numId w:val="0"/>
        </w:numPr>
        <w:spacing w:after="0"/>
        <w:rPr>
          <w:b/>
        </w:rPr>
      </w:pPr>
      <w:r w:rsidRPr="00447888">
        <w:rPr>
          <w:b/>
        </w:rPr>
        <w:t xml:space="preserve">Level of risk </w:t>
      </w:r>
    </w:p>
    <w:p w:rsidR="00B705B8" w:rsidRPr="00447888" w:rsidRDefault="00B705B8" w:rsidP="006C5110">
      <w:pPr>
        <w:pStyle w:val="ParaStyle1"/>
        <w:numPr>
          <w:ilvl w:val="0"/>
          <w:numId w:val="0"/>
        </w:numPr>
        <w:spacing w:after="0"/>
        <w:rPr>
          <w:b/>
        </w:rPr>
      </w:pPr>
    </w:p>
    <w:p w:rsidR="006C5110" w:rsidRPr="00447888" w:rsidRDefault="006C5110" w:rsidP="006C5110">
      <w:pPr>
        <w:pStyle w:val="ParaStyle1"/>
      </w:pPr>
      <w:r w:rsidRPr="00447888">
        <w:rPr>
          <w:rFonts w:ascii="TTCEB9o00" w:hAnsi="TTCEB9o00" w:cs="TTCEB9o00"/>
          <w:lang w:eastAsia="en-GB"/>
        </w:rPr>
        <w:t xml:space="preserve">A risk assessment has been undertaken and the risk register is attached (Appendix </w:t>
      </w:r>
      <w:r w:rsidR="00BA03E5" w:rsidRPr="00447888">
        <w:rPr>
          <w:rFonts w:ascii="TTCEB9o00" w:hAnsi="TTCEB9o00" w:cs="TTCEB9o00"/>
          <w:lang w:eastAsia="en-GB"/>
        </w:rPr>
        <w:t>4</w:t>
      </w:r>
      <w:r w:rsidRPr="00447888">
        <w:rPr>
          <w:rFonts w:ascii="TTCEB9o00" w:hAnsi="TTCEB9o00" w:cs="TTCEB9o00"/>
          <w:lang w:eastAsia="en-GB"/>
        </w:rPr>
        <w:t>). All risks have been mitigated to an acceptable level.</w:t>
      </w:r>
    </w:p>
    <w:p w:rsidR="006C5110" w:rsidRDefault="006C5110" w:rsidP="006C5110">
      <w:pPr>
        <w:pStyle w:val="ParaStyle1"/>
        <w:numPr>
          <w:ilvl w:val="0"/>
          <w:numId w:val="0"/>
        </w:numPr>
        <w:spacing w:after="0"/>
        <w:rPr>
          <w:b/>
        </w:rPr>
      </w:pPr>
      <w:r w:rsidRPr="00447888">
        <w:rPr>
          <w:b/>
        </w:rPr>
        <w:t xml:space="preserve">Climate change / environmental impact </w:t>
      </w:r>
    </w:p>
    <w:p w:rsidR="00B705B8" w:rsidRPr="00447888" w:rsidRDefault="00B705B8" w:rsidP="006C5110">
      <w:pPr>
        <w:pStyle w:val="ParaStyle1"/>
        <w:numPr>
          <w:ilvl w:val="0"/>
          <w:numId w:val="0"/>
        </w:numPr>
        <w:spacing w:after="0"/>
        <w:rPr>
          <w:b/>
        </w:rPr>
      </w:pPr>
    </w:p>
    <w:p w:rsidR="00923375" w:rsidRPr="00447888" w:rsidRDefault="006C5110" w:rsidP="00923375">
      <w:pPr>
        <w:pStyle w:val="ParaStyle1"/>
      </w:pPr>
      <w:r w:rsidRPr="00447888">
        <w:rPr>
          <w:rFonts w:ascii="TTCEB9o00" w:hAnsi="TTCEB9o00" w:cs="TTCEB9o00"/>
          <w:color w:val="000000"/>
          <w:lang w:eastAsia="en-GB"/>
        </w:rPr>
        <w:t>Sustainability Appraisal is no longer required for SPDs under UK law</w:t>
      </w:r>
      <w:r w:rsidR="006A2DD2" w:rsidRPr="00447888">
        <w:rPr>
          <w:rFonts w:ascii="TTCEB9o00" w:hAnsi="TTCEB9o00" w:cs="TTCEB9o00"/>
          <w:color w:val="000000"/>
          <w:lang w:eastAsia="en-GB"/>
        </w:rPr>
        <w:t>;</w:t>
      </w:r>
      <w:r w:rsidRPr="00447888">
        <w:rPr>
          <w:rFonts w:ascii="TTCEB9o00" w:hAnsi="TTCEB9o00" w:cs="TTCEB9o00"/>
          <w:color w:val="000000"/>
          <w:lang w:eastAsia="en-GB"/>
        </w:rPr>
        <w:t xml:space="preserve"> however to comply with European regulations, a Strategic Environmental Assessment (SEA) Screening Report has been produced to identify whether the SPD would have any si</w:t>
      </w:r>
      <w:r w:rsidR="006A2DD2" w:rsidRPr="00447888">
        <w:rPr>
          <w:rFonts w:ascii="TTCEB9o00" w:hAnsi="TTCEB9o00" w:cs="TTCEB9o00"/>
          <w:color w:val="000000"/>
          <w:lang w:eastAsia="en-GB"/>
        </w:rPr>
        <w:t xml:space="preserve">gnificant environmental impacts. This </w:t>
      </w:r>
      <w:r w:rsidRPr="00447888">
        <w:rPr>
          <w:rFonts w:ascii="TTCEB9o00" w:hAnsi="TTCEB9o00" w:cs="TTCEB9o00"/>
          <w:color w:val="000000"/>
          <w:lang w:eastAsia="en-GB"/>
        </w:rPr>
        <w:t xml:space="preserve">is available </w:t>
      </w:r>
      <w:r w:rsidR="00923375" w:rsidRPr="00447888">
        <w:rPr>
          <w:rFonts w:ascii="TTCEB9o00" w:hAnsi="TTCEB9o00" w:cs="TTCEB9o00"/>
          <w:color w:val="000000"/>
          <w:lang w:eastAsia="en-GB"/>
        </w:rPr>
        <w:t xml:space="preserve">at Appendix </w:t>
      </w:r>
      <w:r w:rsidR="00BA03E5" w:rsidRPr="00447888">
        <w:rPr>
          <w:rFonts w:ascii="TTCEB9o00" w:hAnsi="TTCEB9o00" w:cs="TTCEB9o00"/>
          <w:color w:val="000000"/>
          <w:lang w:eastAsia="en-GB"/>
        </w:rPr>
        <w:t>5</w:t>
      </w:r>
      <w:r w:rsidR="00923375" w:rsidRPr="00447888">
        <w:t>.</w:t>
      </w:r>
    </w:p>
    <w:p w:rsidR="00923375" w:rsidRDefault="00923375" w:rsidP="00923375">
      <w:pPr>
        <w:pStyle w:val="ParaStyle1"/>
        <w:numPr>
          <w:ilvl w:val="0"/>
          <w:numId w:val="0"/>
        </w:numPr>
        <w:spacing w:after="0"/>
        <w:rPr>
          <w:b/>
        </w:rPr>
      </w:pPr>
      <w:r w:rsidRPr="00447888">
        <w:rPr>
          <w:b/>
        </w:rPr>
        <w:t>Equalities impact</w:t>
      </w:r>
    </w:p>
    <w:p w:rsidR="00B705B8" w:rsidRPr="00447888" w:rsidRDefault="00B705B8" w:rsidP="00923375">
      <w:pPr>
        <w:pStyle w:val="ParaStyle1"/>
        <w:numPr>
          <w:ilvl w:val="0"/>
          <w:numId w:val="0"/>
        </w:numPr>
        <w:spacing w:after="0"/>
        <w:rPr>
          <w:b/>
        </w:rPr>
      </w:pPr>
    </w:p>
    <w:p w:rsidR="00CF5C32" w:rsidRPr="00447888" w:rsidRDefault="00923375" w:rsidP="00CF5C32">
      <w:pPr>
        <w:pStyle w:val="ParaStyle1"/>
      </w:pPr>
      <w:r w:rsidRPr="00447888">
        <w:rPr>
          <w:rFonts w:ascii="TTCEB9o00" w:hAnsi="TTCEB9o00" w:cs="TTCEB9o00"/>
          <w:lang w:eastAsia="en-GB"/>
        </w:rPr>
        <w:t>Consideration has been given to the public sector equality duty imposed</w:t>
      </w:r>
      <w:r w:rsidRPr="00447888">
        <w:t xml:space="preserve"> </w:t>
      </w:r>
      <w:r w:rsidRPr="00447888">
        <w:rPr>
          <w:rFonts w:ascii="TTCEB9o00" w:hAnsi="TTCEB9o00" w:cs="TTCEB9o00"/>
          <w:lang w:eastAsia="en-GB"/>
        </w:rPr>
        <w:t xml:space="preserve">by s149 of the Equality Act 2010. </w:t>
      </w:r>
      <w:r w:rsidR="00307F72">
        <w:rPr>
          <w:color w:val="000000"/>
        </w:rPr>
        <w:t>Having paid due regard to the need to meet the objectives of that duty in connect</w:t>
      </w:r>
      <w:r w:rsidR="000F6A05">
        <w:rPr>
          <w:color w:val="000000"/>
        </w:rPr>
        <w:t xml:space="preserve">ion with the production of the </w:t>
      </w:r>
      <w:r w:rsidR="00307F72">
        <w:rPr>
          <w:color w:val="000000"/>
        </w:rPr>
        <w:t>SPD the view is taken that the duty is met. </w:t>
      </w:r>
      <w:r w:rsidR="00307F72" w:rsidRPr="00447888">
        <w:rPr>
          <w:rFonts w:ascii="TTCEB9o00" w:hAnsi="TTCEB9o00" w:cs="TTCEB9o00"/>
          <w:lang w:eastAsia="en-GB"/>
        </w:rPr>
        <w:t>An Equalities Impact Assessment</w:t>
      </w:r>
      <w:r w:rsidR="00034187">
        <w:rPr>
          <w:rFonts w:ascii="TTCEB9o00" w:hAnsi="TTCEB9o00" w:cs="TTCEB9o00"/>
          <w:lang w:eastAsia="en-GB"/>
        </w:rPr>
        <w:t xml:space="preserve"> screening</w:t>
      </w:r>
      <w:r w:rsidR="00307F72" w:rsidRPr="00447888">
        <w:rPr>
          <w:rFonts w:ascii="TTCEB9o00" w:hAnsi="TTCEB9o00" w:cs="TTCEB9o00"/>
          <w:lang w:eastAsia="en-GB"/>
        </w:rPr>
        <w:t xml:space="preserve"> is at Appendix 6.</w:t>
      </w:r>
    </w:p>
    <w:p w:rsidR="00CF5C32" w:rsidRDefault="00CF5C32" w:rsidP="00CF5C32">
      <w:pPr>
        <w:pStyle w:val="ParaStyle1"/>
        <w:numPr>
          <w:ilvl w:val="0"/>
          <w:numId w:val="0"/>
        </w:numPr>
        <w:spacing w:after="0"/>
        <w:rPr>
          <w:b/>
        </w:rPr>
      </w:pPr>
      <w:r w:rsidRPr="00CF5C32">
        <w:rPr>
          <w:b/>
        </w:rPr>
        <w:t>Financial implications</w:t>
      </w:r>
    </w:p>
    <w:p w:rsidR="00B705B8" w:rsidRPr="00CF5C32" w:rsidRDefault="00B705B8" w:rsidP="00CF5C32">
      <w:pPr>
        <w:pStyle w:val="ParaStyle1"/>
        <w:numPr>
          <w:ilvl w:val="0"/>
          <w:numId w:val="0"/>
        </w:numPr>
        <w:spacing w:after="0"/>
        <w:rPr>
          <w:b/>
        </w:rPr>
      </w:pPr>
    </w:p>
    <w:p w:rsidR="00CF5C32" w:rsidRDefault="00CF5C32" w:rsidP="00CF5C32">
      <w:pPr>
        <w:pStyle w:val="ParaStyle1"/>
      </w:pPr>
      <w:r w:rsidRPr="00CF5C32">
        <w:rPr>
          <w:rFonts w:ascii="TT962Eo00" w:hAnsi="TT962Eo00" w:cs="TT962Eo00"/>
          <w:lang w:eastAsia="en-GB"/>
        </w:rPr>
        <w:t xml:space="preserve">The costs associated with the production of the </w:t>
      </w:r>
      <w:r>
        <w:rPr>
          <w:rFonts w:ascii="TT962Eo00" w:hAnsi="TT962Eo00" w:cs="TT962Eo00"/>
          <w:lang w:eastAsia="en-GB"/>
        </w:rPr>
        <w:t>SPD</w:t>
      </w:r>
      <w:r w:rsidRPr="00CF5C32">
        <w:rPr>
          <w:rFonts w:ascii="TT962Eo00" w:hAnsi="TT962Eo00" w:cs="TT962Eo00"/>
          <w:lang w:eastAsia="en-GB"/>
        </w:rPr>
        <w:t xml:space="preserve"> have been met through the current resources of the Planning Policy team and budget.  </w:t>
      </w:r>
      <w:r w:rsidR="006A2DD2">
        <w:rPr>
          <w:rFonts w:ascii="TT962Eo00" w:hAnsi="TT962Eo00" w:cs="TT962Eo00"/>
          <w:lang w:eastAsia="en-GB"/>
        </w:rPr>
        <w:t>Approximately half</w:t>
      </w:r>
      <w:r>
        <w:rPr>
          <w:rFonts w:ascii="TT962Eo00" w:hAnsi="TT962Eo00" w:cs="TT962Eo00"/>
          <w:lang w:eastAsia="en-GB"/>
        </w:rPr>
        <w:t xml:space="preserve"> of the site is owned by the Council</w:t>
      </w:r>
      <w:r w:rsidRPr="00CF5C32">
        <w:rPr>
          <w:rFonts w:ascii="TT962Eo00" w:hAnsi="TT962Eo00" w:cs="TT962Eo00"/>
          <w:lang w:eastAsia="en-GB"/>
        </w:rPr>
        <w:t xml:space="preserve">. By having </w:t>
      </w:r>
      <w:r>
        <w:rPr>
          <w:rFonts w:ascii="TT962Eo00" w:hAnsi="TT962Eo00" w:cs="TT962Eo00"/>
          <w:lang w:eastAsia="en-GB"/>
        </w:rPr>
        <w:t>an SPD to help deliver the site</w:t>
      </w:r>
      <w:r w:rsidRPr="00CF5C32">
        <w:rPr>
          <w:rFonts w:ascii="TT962Eo00" w:hAnsi="TT962Eo00" w:cs="TT962Eo00"/>
          <w:lang w:eastAsia="en-GB"/>
        </w:rPr>
        <w:t xml:space="preserve">, the Council’s Corporate Asset team will have greater certainty over the development likely to be supported by the Council </w:t>
      </w:r>
      <w:r w:rsidR="00307F72">
        <w:rPr>
          <w:rFonts w:ascii="TT962Eo00" w:hAnsi="TT962Eo00" w:cs="TT962Eo00"/>
          <w:lang w:eastAsia="en-GB"/>
        </w:rPr>
        <w:t xml:space="preserve">as local planning authority </w:t>
      </w:r>
      <w:r w:rsidRPr="00CF5C32">
        <w:rPr>
          <w:rFonts w:ascii="TT962Eo00" w:hAnsi="TT962Eo00" w:cs="TT962Eo00"/>
          <w:lang w:eastAsia="en-GB"/>
        </w:rPr>
        <w:t>and will be able to realise the capital value of these assets in a timely fashion</w:t>
      </w:r>
      <w:r>
        <w:rPr>
          <w:rFonts w:ascii="TT962Eo00" w:hAnsi="TT962Eo00" w:cs="TT962Eo00"/>
          <w:lang w:eastAsia="en-GB"/>
        </w:rPr>
        <w:t xml:space="preserve"> subject to joint working with the landowner of the remainder of the site</w:t>
      </w:r>
      <w:r w:rsidRPr="00CF5C32">
        <w:rPr>
          <w:rFonts w:ascii="TT962Eo00" w:hAnsi="TT962Eo00" w:cs="TT962Eo00"/>
          <w:lang w:eastAsia="en-GB"/>
        </w:rPr>
        <w:t xml:space="preserve">. </w:t>
      </w:r>
      <w:r w:rsidRPr="00CF5C32">
        <w:rPr>
          <w:lang w:eastAsia="en-GB"/>
        </w:rPr>
        <w:t xml:space="preserve">For the avoidance of doubt it is noted that this is an incidental consequence.  The ownership of </w:t>
      </w:r>
      <w:r>
        <w:rPr>
          <w:lang w:eastAsia="en-GB"/>
        </w:rPr>
        <w:t xml:space="preserve">the </w:t>
      </w:r>
      <w:r w:rsidRPr="00CA5230">
        <w:rPr>
          <w:lang w:eastAsia="en-GB"/>
        </w:rPr>
        <w:t>site was not a consideration save as is relevant to the plan making process (e.g. in connection with the likelihood of delivery).</w:t>
      </w:r>
    </w:p>
    <w:p w:rsidR="00BE5A00" w:rsidRDefault="00BE5A00" w:rsidP="00BE5A00">
      <w:pPr>
        <w:pStyle w:val="ParaStyle1"/>
      </w:pPr>
      <w:r>
        <w:rPr>
          <w:lang w:eastAsia="en-GB"/>
        </w:rPr>
        <w:t xml:space="preserve">There are two car parks on the site that bring revenue to the Council. In the long term, all the spaces will be replaced and there will be some additional spaces. There is a risk of some loss of revenue during construction. However, there are a number of options for providing replacement parking during construction, including a temporary car park on Summer Field School’s land or a temporary deck. Until a detailed scheme is worked up and negotiations have taken place with other landowners it is impossible to say exactly what temporary parking solution will be in place, how long it will last or what implications it will have for revenue. Once revenue implications are identified they will be reported back, for example in the normal finance monitoring reports. </w:t>
      </w:r>
    </w:p>
    <w:p w:rsidR="00BE5A00" w:rsidRPr="00CA5230" w:rsidRDefault="00BE5A00" w:rsidP="00BE5A00">
      <w:pPr>
        <w:pStyle w:val="ParaStyle1"/>
      </w:pPr>
      <w:r>
        <w:t xml:space="preserve">There is the </w:t>
      </w:r>
      <w:r w:rsidR="009B070D">
        <w:t>potential for a judicial review</w:t>
      </w:r>
      <w:r>
        <w:t xml:space="preserve">. This would have financial implications as there would be a cost </w:t>
      </w:r>
      <w:r w:rsidR="009B070D">
        <w:t>involved in</w:t>
      </w:r>
      <w:r>
        <w:t xml:space="preserve"> defending against it. </w:t>
      </w:r>
    </w:p>
    <w:p w:rsidR="00B705B8" w:rsidRDefault="00B705B8" w:rsidP="009B1507">
      <w:pPr>
        <w:rPr>
          <w:rFonts w:cs="Arial"/>
          <w:b/>
        </w:rPr>
      </w:pPr>
    </w:p>
    <w:p w:rsidR="00F4367A" w:rsidRDefault="009B1507" w:rsidP="009B1507">
      <w:pPr>
        <w:rPr>
          <w:rFonts w:cs="Arial"/>
          <w:b/>
        </w:rPr>
      </w:pPr>
      <w:r w:rsidRPr="00CA5230">
        <w:rPr>
          <w:rFonts w:cs="Arial"/>
          <w:b/>
        </w:rPr>
        <w:t>Legal Implications</w:t>
      </w:r>
    </w:p>
    <w:p w:rsidR="00B705B8" w:rsidRPr="00CA5230" w:rsidRDefault="00B705B8" w:rsidP="009B1507">
      <w:pPr>
        <w:rPr>
          <w:rFonts w:cs="Arial"/>
          <w:b/>
        </w:rPr>
      </w:pPr>
    </w:p>
    <w:p w:rsidR="009B1507" w:rsidRDefault="00CF5C32" w:rsidP="00CF5C32">
      <w:pPr>
        <w:pStyle w:val="ParaStyle1"/>
      </w:pPr>
      <w:r w:rsidRPr="00CA5230">
        <w:t xml:space="preserve">Any person may apply to judicially review the adoption of the SPD upon adoption </w:t>
      </w:r>
      <w:r w:rsidR="001D013B">
        <w:t xml:space="preserve">and </w:t>
      </w:r>
      <w:r w:rsidR="000F6A05">
        <w:t xml:space="preserve">this </w:t>
      </w:r>
      <w:r w:rsidR="001D013B">
        <w:t>must be made promptly and in any event within three months</w:t>
      </w:r>
      <w:r w:rsidRPr="00CA5230">
        <w:t xml:space="preserve">.  The level of risk of a successful </w:t>
      </w:r>
      <w:r w:rsidR="00CA5230">
        <w:t xml:space="preserve">judicial review </w:t>
      </w:r>
      <w:r w:rsidRPr="00CA5230">
        <w:t>is considered to be acceptably low.</w:t>
      </w:r>
    </w:p>
    <w:p w:rsidR="00034187" w:rsidRPr="00CA5230" w:rsidRDefault="00034187" w:rsidP="00034187">
      <w:pPr>
        <w:pStyle w:val="ParaStyle1"/>
        <w:numPr>
          <w:ilvl w:val="0"/>
          <w:numId w:val="0"/>
        </w:numPr>
        <w:ind w:left="360"/>
      </w:pPr>
    </w:p>
    <w:p w:rsidR="00F4367A" w:rsidRDefault="00F4367A">
      <w:pPr>
        <w:ind w:left="1080"/>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4749D" w:rsidTr="00696012">
        <w:tc>
          <w:tcPr>
            <w:tcW w:w="8522" w:type="dxa"/>
          </w:tcPr>
          <w:p w:rsidR="0084749D" w:rsidRDefault="0084749D" w:rsidP="00696012">
            <w:pPr>
              <w:tabs>
                <w:tab w:val="left" w:pos="720"/>
                <w:tab w:val="left" w:pos="1440"/>
                <w:tab w:val="left" w:pos="2160"/>
                <w:tab w:val="left" w:pos="2880"/>
              </w:tabs>
            </w:pPr>
            <w:r>
              <w:rPr>
                <w:b/>
                <w:bCs/>
              </w:rPr>
              <w:t>Name and contact details of author:-</w:t>
            </w:r>
          </w:p>
        </w:tc>
      </w:tr>
      <w:tr w:rsidR="0084749D" w:rsidTr="00696012">
        <w:tc>
          <w:tcPr>
            <w:tcW w:w="8522" w:type="dxa"/>
          </w:tcPr>
          <w:p w:rsidR="0084749D" w:rsidRDefault="0084749D" w:rsidP="006A2DD2">
            <w:pPr>
              <w:tabs>
                <w:tab w:val="left" w:pos="720"/>
                <w:tab w:val="left" w:pos="1440"/>
                <w:tab w:val="left" w:pos="2160"/>
                <w:tab w:val="left" w:pos="2880"/>
              </w:tabs>
            </w:pPr>
            <w:r>
              <w:t xml:space="preserve">Name:  </w:t>
            </w:r>
            <w:r w:rsidR="006A2DD2">
              <w:t>Sarah Harrison</w:t>
            </w:r>
          </w:p>
        </w:tc>
      </w:tr>
      <w:tr w:rsidR="0084749D" w:rsidTr="00696012">
        <w:tc>
          <w:tcPr>
            <w:tcW w:w="8522" w:type="dxa"/>
          </w:tcPr>
          <w:p w:rsidR="0084749D" w:rsidRDefault="0084749D" w:rsidP="006A2DD2">
            <w:pPr>
              <w:tabs>
                <w:tab w:val="left" w:pos="720"/>
                <w:tab w:val="left" w:pos="1440"/>
                <w:tab w:val="left" w:pos="2160"/>
                <w:tab w:val="left" w:pos="2880"/>
              </w:tabs>
            </w:pPr>
            <w:r>
              <w:t xml:space="preserve">Job title: </w:t>
            </w:r>
            <w:r w:rsidR="006A2DD2">
              <w:t>Senior Planner</w:t>
            </w:r>
            <w:r>
              <w:t>, Planning Policy</w:t>
            </w:r>
          </w:p>
        </w:tc>
      </w:tr>
      <w:tr w:rsidR="0084749D" w:rsidTr="00696012">
        <w:tc>
          <w:tcPr>
            <w:tcW w:w="8522" w:type="dxa"/>
          </w:tcPr>
          <w:p w:rsidR="0084749D" w:rsidRDefault="0084749D" w:rsidP="00FB0165">
            <w:pPr>
              <w:tabs>
                <w:tab w:val="left" w:pos="720"/>
                <w:tab w:val="left" w:pos="1440"/>
                <w:tab w:val="left" w:pos="2160"/>
                <w:tab w:val="left" w:pos="2880"/>
              </w:tabs>
            </w:pPr>
            <w:r>
              <w:t xml:space="preserve">Service Area / Department:      </w:t>
            </w:r>
            <w:r w:rsidR="00FB0165">
              <w:t xml:space="preserve">Planning and Regulatory </w:t>
            </w:r>
          </w:p>
        </w:tc>
      </w:tr>
      <w:tr w:rsidR="0084749D" w:rsidTr="00696012">
        <w:tc>
          <w:tcPr>
            <w:tcW w:w="8522" w:type="dxa"/>
          </w:tcPr>
          <w:p w:rsidR="0084749D" w:rsidRDefault="0084749D" w:rsidP="006A2DD2">
            <w:pPr>
              <w:tabs>
                <w:tab w:val="left" w:pos="720"/>
                <w:tab w:val="left" w:pos="1440"/>
                <w:tab w:val="left" w:pos="2160"/>
                <w:tab w:val="left" w:pos="2880"/>
              </w:tabs>
              <w:rPr>
                <w:color w:val="0000FF"/>
                <w:u w:val="single"/>
              </w:rPr>
            </w:pPr>
            <w:r>
              <w:t>Tel:  01865 252</w:t>
            </w:r>
            <w:r w:rsidR="006A2DD2">
              <w:t>015</w:t>
            </w:r>
            <w:r>
              <w:t xml:space="preserve">  e-mail: </w:t>
            </w:r>
            <w:r w:rsidR="006A2DD2">
              <w:t>sbharrison</w:t>
            </w:r>
            <w:r>
              <w:t>@oxford.gov.uk</w:t>
            </w:r>
          </w:p>
        </w:tc>
      </w:tr>
    </w:tbl>
    <w:p w:rsidR="00427871" w:rsidRDefault="00427871">
      <w:pPr>
        <w:rPr>
          <w:rFonts w:cs="Arial"/>
        </w:rPr>
      </w:pPr>
    </w:p>
    <w:p w:rsidR="00F4367A" w:rsidRDefault="00F4367A">
      <w:pPr>
        <w:rPr>
          <w:b/>
          <w:bCs/>
        </w:rPr>
      </w:pPr>
    </w:p>
    <w:p w:rsidR="00B705B8" w:rsidRPr="00427871" w:rsidRDefault="00B705B8">
      <w:pPr>
        <w:rPr>
          <w:rFonts w:cs="Arial"/>
        </w:rPr>
      </w:pPr>
    </w:p>
    <w:sectPr w:rsidR="00B705B8" w:rsidRPr="0042787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27" w:rsidRDefault="00D12027">
      <w:r>
        <w:separator/>
      </w:r>
    </w:p>
  </w:endnote>
  <w:endnote w:type="continuationSeparator" w:id="0">
    <w:p w:rsidR="00D12027" w:rsidRDefault="00D1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CEB9o00">
    <w:panose1 w:val="00000000000000000000"/>
    <w:charset w:val="00"/>
    <w:family w:val="auto"/>
    <w:notTrueType/>
    <w:pitch w:val="default"/>
    <w:sig w:usb0="00000003" w:usb1="00000000" w:usb2="00000000" w:usb3="00000000" w:csb0="00000001" w:csb1="00000000"/>
  </w:font>
  <w:font w:name="TT962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27" w:rsidRDefault="00D12027">
      <w:r>
        <w:separator/>
      </w:r>
    </w:p>
  </w:footnote>
  <w:footnote w:type="continuationSeparator" w:id="0">
    <w:p w:rsidR="00D12027" w:rsidRDefault="00D12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7E2"/>
    <w:multiLevelType w:val="hybridMultilevel"/>
    <w:tmpl w:val="E0CEBF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1E3F8B"/>
    <w:multiLevelType w:val="hybridMultilevel"/>
    <w:tmpl w:val="D1B0C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1FF6078"/>
    <w:multiLevelType w:val="hybridMultilevel"/>
    <w:tmpl w:val="4C4C6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21650EF"/>
    <w:multiLevelType w:val="hybridMultilevel"/>
    <w:tmpl w:val="694618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0206BBC"/>
    <w:multiLevelType w:val="hybridMultilevel"/>
    <w:tmpl w:val="11EAAFB2"/>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1BF2F53"/>
    <w:multiLevelType w:val="hybridMultilevel"/>
    <w:tmpl w:val="777A29B0"/>
    <w:lvl w:ilvl="0" w:tplc="9586B8BA">
      <w:start w:val="1"/>
      <w:numFmt w:val="decimal"/>
      <w:lvlText w:val="%1."/>
      <w:lvlJc w:val="left"/>
      <w:pPr>
        <w:tabs>
          <w:tab w:val="num" w:pos="1080"/>
        </w:tabs>
        <w:ind w:left="1080" w:hanging="72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3AC1AC7"/>
    <w:multiLevelType w:val="hybridMultilevel"/>
    <w:tmpl w:val="53A2F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3222B9"/>
    <w:multiLevelType w:val="multilevel"/>
    <w:tmpl w:val="2D22D2CA"/>
    <w:lvl w:ilvl="0">
      <w:start w:val="1"/>
      <w:numFmt w:val="decimal"/>
      <w:lvlText w:val="%1.0"/>
      <w:lvlJc w:val="left"/>
      <w:pPr>
        <w:ind w:left="357" w:hanging="357"/>
      </w:pPr>
      <w:rPr>
        <w:rFonts w:ascii="Calibri" w:hAnsi="Calibri" w:hint="default"/>
        <w:b/>
        <w:i w:val="0"/>
        <w:color w:val="17365D" w:themeColor="text2" w:themeShade="BF"/>
      </w:rPr>
    </w:lvl>
    <w:lvl w:ilvl="1">
      <w:start w:val="1"/>
      <w:numFmt w:val="decimal"/>
      <w:lvlText w:val="%1.%2"/>
      <w:lvlJc w:val="left"/>
      <w:pPr>
        <w:ind w:left="0" w:firstLine="0"/>
      </w:pPr>
      <w:rPr>
        <w:rFonts w:ascii="Calibri" w:hAnsi="Calibri" w:hint="default"/>
        <w:b w:val="0"/>
        <w:i w:val="0"/>
        <w:color w:val="17365D" w:themeColor="text2" w:themeShade="BF"/>
        <w:sz w:val="22"/>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nsid w:val="3B3652E8"/>
    <w:multiLevelType w:val="hybridMultilevel"/>
    <w:tmpl w:val="9DF08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4BE74E8"/>
    <w:multiLevelType w:val="hybridMultilevel"/>
    <w:tmpl w:val="94DC4D0C"/>
    <w:lvl w:ilvl="0" w:tplc="E7240B4A">
      <w:start w:val="1"/>
      <w:numFmt w:val="decimal"/>
      <w:pStyle w:val="ParaStyle1"/>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57412D"/>
    <w:multiLevelType w:val="hybridMultilevel"/>
    <w:tmpl w:val="37A66488"/>
    <w:lvl w:ilvl="0" w:tplc="E7240B4A">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A974A6B"/>
    <w:multiLevelType w:val="hybridMultilevel"/>
    <w:tmpl w:val="478C18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EF849D9"/>
    <w:multiLevelType w:val="hybridMultilevel"/>
    <w:tmpl w:val="B0680C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0"/>
  </w:num>
  <w:num w:numId="2">
    <w:abstractNumId w:val="6"/>
  </w:num>
  <w:num w:numId="3">
    <w:abstractNumId w:val="9"/>
  </w:num>
  <w:num w:numId="4">
    <w:abstractNumId w:val="13"/>
  </w:num>
  <w:num w:numId="5">
    <w:abstractNumId w:val="8"/>
  </w:num>
  <w:num w:numId="6">
    <w:abstractNumId w:val="7"/>
  </w:num>
  <w:num w:numId="7">
    <w:abstractNumId w:val="4"/>
  </w:num>
  <w:num w:numId="8">
    <w:abstractNumId w:val="2"/>
  </w:num>
  <w:num w:numId="9">
    <w:abstractNumId w:val="11"/>
  </w:num>
  <w:num w:numId="10">
    <w:abstractNumId w:val="5"/>
  </w:num>
  <w:num w:numId="11">
    <w:abstractNumId w:val="0"/>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5557"/>
    <w:rsid w:val="00034187"/>
    <w:rsid w:val="00056263"/>
    <w:rsid w:val="000A28A7"/>
    <w:rsid w:val="000C3928"/>
    <w:rsid w:val="000C4857"/>
    <w:rsid w:val="000D1CF2"/>
    <w:rsid w:val="000D79E7"/>
    <w:rsid w:val="000F6A05"/>
    <w:rsid w:val="0010559F"/>
    <w:rsid w:val="00154713"/>
    <w:rsid w:val="001B331E"/>
    <w:rsid w:val="001D013B"/>
    <w:rsid w:val="001D32A6"/>
    <w:rsid w:val="0020591B"/>
    <w:rsid w:val="00261195"/>
    <w:rsid w:val="002615AF"/>
    <w:rsid w:val="00274C3A"/>
    <w:rsid w:val="00282956"/>
    <w:rsid w:val="002A6A4E"/>
    <w:rsid w:val="002F796B"/>
    <w:rsid w:val="00307F72"/>
    <w:rsid w:val="003178E8"/>
    <w:rsid w:val="003C3437"/>
    <w:rsid w:val="003D20C7"/>
    <w:rsid w:val="0041089B"/>
    <w:rsid w:val="00427871"/>
    <w:rsid w:val="00430CDE"/>
    <w:rsid w:val="00447888"/>
    <w:rsid w:val="00465EAF"/>
    <w:rsid w:val="0047244C"/>
    <w:rsid w:val="00476D0F"/>
    <w:rsid w:val="004A50FE"/>
    <w:rsid w:val="004C6335"/>
    <w:rsid w:val="00560903"/>
    <w:rsid w:val="005663E6"/>
    <w:rsid w:val="005708A2"/>
    <w:rsid w:val="005902F3"/>
    <w:rsid w:val="005A398E"/>
    <w:rsid w:val="005A3F82"/>
    <w:rsid w:val="005E601C"/>
    <w:rsid w:val="00607E74"/>
    <w:rsid w:val="00681E28"/>
    <w:rsid w:val="00696012"/>
    <w:rsid w:val="006A2DD2"/>
    <w:rsid w:val="006B40D5"/>
    <w:rsid w:val="006C5110"/>
    <w:rsid w:val="00707BA1"/>
    <w:rsid w:val="00713675"/>
    <w:rsid w:val="00752FB9"/>
    <w:rsid w:val="007A4A24"/>
    <w:rsid w:val="007D2A8A"/>
    <w:rsid w:val="007D641C"/>
    <w:rsid w:val="007F0E03"/>
    <w:rsid w:val="00816FDD"/>
    <w:rsid w:val="00821637"/>
    <w:rsid w:val="0084749D"/>
    <w:rsid w:val="00855C66"/>
    <w:rsid w:val="008743BA"/>
    <w:rsid w:val="008B0BDA"/>
    <w:rsid w:val="008C294B"/>
    <w:rsid w:val="008E0485"/>
    <w:rsid w:val="00904519"/>
    <w:rsid w:val="00923375"/>
    <w:rsid w:val="009513B5"/>
    <w:rsid w:val="00951D7A"/>
    <w:rsid w:val="00966EBF"/>
    <w:rsid w:val="00971689"/>
    <w:rsid w:val="00973E90"/>
    <w:rsid w:val="009A4214"/>
    <w:rsid w:val="009B070D"/>
    <w:rsid w:val="009B1507"/>
    <w:rsid w:val="009B3F00"/>
    <w:rsid w:val="009C3B0F"/>
    <w:rsid w:val="009F312B"/>
    <w:rsid w:val="00A03425"/>
    <w:rsid w:val="00A109B3"/>
    <w:rsid w:val="00A12462"/>
    <w:rsid w:val="00A46C41"/>
    <w:rsid w:val="00A67F51"/>
    <w:rsid w:val="00A92D8F"/>
    <w:rsid w:val="00AD3292"/>
    <w:rsid w:val="00B04339"/>
    <w:rsid w:val="00B705B8"/>
    <w:rsid w:val="00B8603C"/>
    <w:rsid w:val="00BA03E5"/>
    <w:rsid w:val="00BC5483"/>
    <w:rsid w:val="00BE5A00"/>
    <w:rsid w:val="00BF5A0E"/>
    <w:rsid w:val="00C03CDF"/>
    <w:rsid w:val="00C128A3"/>
    <w:rsid w:val="00C22597"/>
    <w:rsid w:val="00C40431"/>
    <w:rsid w:val="00C84058"/>
    <w:rsid w:val="00C92296"/>
    <w:rsid w:val="00CA4941"/>
    <w:rsid w:val="00CA5230"/>
    <w:rsid w:val="00CA6E76"/>
    <w:rsid w:val="00CD3CD6"/>
    <w:rsid w:val="00CF5C32"/>
    <w:rsid w:val="00D12027"/>
    <w:rsid w:val="00D63B28"/>
    <w:rsid w:val="00D75118"/>
    <w:rsid w:val="00DC1203"/>
    <w:rsid w:val="00E01F42"/>
    <w:rsid w:val="00EA0DB1"/>
    <w:rsid w:val="00EB24D3"/>
    <w:rsid w:val="00EC143F"/>
    <w:rsid w:val="00ED0187"/>
    <w:rsid w:val="00ED13B6"/>
    <w:rsid w:val="00ED533D"/>
    <w:rsid w:val="00ED6C7E"/>
    <w:rsid w:val="00EF7C74"/>
    <w:rsid w:val="00F4367A"/>
    <w:rsid w:val="00F7606D"/>
    <w:rsid w:val="00FA624C"/>
    <w:rsid w:val="00FB0165"/>
    <w:rsid w:val="00FC15D5"/>
    <w:rsid w:val="00FC2D41"/>
    <w:rsid w:val="00FE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uiPriority w:val="9"/>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basedOn w:val="DefaultParagraphFont"/>
    <w:rsid w:val="00713675"/>
    <w:rPr>
      <w:color w:val="0000FF"/>
      <w:u w:val="single"/>
    </w:rPr>
  </w:style>
  <w:style w:type="table" w:styleId="TableGrid">
    <w:name w:val="Table Grid"/>
    <w:basedOn w:val="TableNormal"/>
    <w:rsid w:val="0057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yle1">
    <w:name w:val="ParaStyle1"/>
    <w:basedOn w:val="Normal"/>
    <w:link w:val="ParaStyle1Char"/>
    <w:qFormat/>
    <w:rsid w:val="000D1CF2"/>
    <w:pPr>
      <w:numPr>
        <w:numId w:val="3"/>
      </w:numPr>
      <w:spacing w:after="240"/>
    </w:pPr>
    <w:rPr>
      <w:rFonts w:cs="Arial"/>
    </w:rPr>
  </w:style>
  <w:style w:type="character" w:customStyle="1" w:styleId="ParaStyle1Char">
    <w:name w:val="ParaStyle1 Char"/>
    <w:basedOn w:val="DefaultParagraphFont"/>
    <w:link w:val="ParaStyle1"/>
    <w:rsid w:val="000D1CF2"/>
    <w:rPr>
      <w:rFonts w:ascii="Arial" w:hAnsi="Arial" w:cs="Arial"/>
      <w:sz w:val="24"/>
      <w:szCs w:val="24"/>
      <w:lang w:eastAsia="en-US"/>
    </w:rPr>
  </w:style>
  <w:style w:type="paragraph" w:styleId="ListParagraph">
    <w:name w:val="List Paragraph"/>
    <w:basedOn w:val="Normal"/>
    <w:link w:val="ListParagraphChar"/>
    <w:uiPriority w:val="34"/>
    <w:qFormat/>
    <w:rsid w:val="005663E6"/>
    <w:pPr>
      <w:numPr>
        <w:ilvl w:val="1"/>
      </w:numPr>
      <w:spacing w:after="240" w:line="276" w:lineRule="auto"/>
      <w:ind w:left="720"/>
      <w:contextualSpacing/>
      <w:jc w:val="both"/>
    </w:pPr>
    <w:rPr>
      <w:rFonts w:asciiTheme="minorHAnsi" w:eastAsiaTheme="minorEastAsia" w:hAnsiTheme="minorHAnsi" w:cstheme="minorBidi"/>
      <w:color w:val="17365D" w:themeColor="text2" w:themeShade="BF"/>
      <w:sz w:val="22"/>
      <w:szCs w:val="20"/>
    </w:rPr>
  </w:style>
  <w:style w:type="character" w:customStyle="1" w:styleId="ListParagraphChar">
    <w:name w:val="List Paragraph Char"/>
    <w:basedOn w:val="DefaultParagraphFont"/>
    <w:link w:val="ListParagraph"/>
    <w:uiPriority w:val="34"/>
    <w:rsid w:val="005663E6"/>
    <w:rPr>
      <w:rFonts w:asciiTheme="minorHAnsi" w:eastAsiaTheme="minorEastAsia" w:hAnsiTheme="minorHAnsi" w:cstheme="minorBidi"/>
      <w:color w:val="17365D" w:themeColor="text2" w:themeShade="BF"/>
      <w:sz w:val="22"/>
      <w:lang w:eastAsia="en-US"/>
    </w:rPr>
  </w:style>
  <w:style w:type="paragraph" w:customStyle="1" w:styleId="CharCharCharChar">
    <w:name w:val="Char Char Char Char"/>
    <w:basedOn w:val="Normal"/>
    <w:rsid w:val="006C5110"/>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uiPriority w:val="9"/>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basedOn w:val="DefaultParagraphFont"/>
    <w:rsid w:val="00713675"/>
    <w:rPr>
      <w:color w:val="0000FF"/>
      <w:u w:val="single"/>
    </w:rPr>
  </w:style>
  <w:style w:type="table" w:styleId="TableGrid">
    <w:name w:val="Table Grid"/>
    <w:basedOn w:val="TableNormal"/>
    <w:rsid w:val="0057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yle1">
    <w:name w:val="ParaStyle1"/>
    <w:basedOn w:val="Normal"/>
    <w:link w:val="ParaStyle1Char"/>
    <w:qFormat/>
    <w:rsid w:val="000D1CF2"/>
    <w:pPr>
      <w:numPr>
        <w:numId w:val="3"/>
      </w:numPr>
      <w:spacing w:after="240"/>
    </w:pPr>
    <w:rPr>
      <w:rFonts w:cs="Arial"/>
    </w:rPr>
  </w:style>
  <w:style w:type="character" w:customStyle="1" w:styleId="ParaStyle1Char">
    <w:name w:val="ParaStyle1 Char"/>
    <w:basedOn w:val="DefaultParagraphFont"/>
    <w:link w:val="ParaStyle1"/>
    <w:rsid w:val="000D1CF2"/>
    <w:rPr>
      <w:rFonts w:ascii="Arial" w:hAnsi="Arial" w:cs="Arial"/>
      <w:sz w:val="24"/>
      <w:szCs w:val="24"/>
      <w:lang w:eastAsia="en-US"/>
    </w:rPr>
  </w:style>
  <w:style w:type="paragraph" w:styleId="ListParagraph">
    <w:name w:val="List Paragraph"/>
    <w:basedOn w:val="Normal"/>
    <w:link w:val="ListParagraphChar"/>
    <w:uiPriority w:val="34"/>
    <w:qFormat/>
    <w:rsid w:val="005663E6"/>
    <w:pPr>
      <w:numPr>
        <w:ilvl w:val="1"/>
      </w:numPr>
      <w:spacing w:after="240" w:line="276" w:lineRule="auto"/>
      <w:ind w:left="720"/>
      <w:contextualSpacing/>
      <w:jc w:val="both"/>
    </w:pPr>
    <w:rPr>
      <w:rFonts w:asciiTheme="minorHAnsi" w:eastAsiaTheme="minorEastAsia" w:hAnsiTheme="minorHAnsi" w:cstheme="minorBidi"/>
      <w:color w:val="17365D" w:themeColor="text2" w:themeShade="BF"/>
      <w:sz w:val="22"/>
      <w:szCs w:val="20"/>
    </w:rPr>
  </w:style>
  <w:style w:type="character" w:customStyle="1" w:styleId="ListParagraphChar">
    <w:name w:val="List Paragraph Char"/>
    <w:basedOn w:val="DefaultParagraphFont"/>
    <w:link w:val="ListParagraph"/>
    <w:uiPriority w:val="34"/>
    <w:rsid w:val="005663E6"/>
    <w:rPr>
      <w:rFonts w:asciiTheme="minorHAnsi" w:eastAsiaTheme="minorEastAsia" w:hAnsiTheme="minorHAnsi" w:cstheme="minorBidi"/>
      <w:color w:val="17365D" w:themeColor="text2" w:themeShade="BF"/>
      <w:sz w:val="22"/>
      <w:lang w:eastAsia="en-US"/>
    </w:rPr>
  </w:style>
  <w:style w:type="paragraph" w:customStyle="1" w:styleId="CharCharCharChar">
    <w:name w:val="Char Char Char Char"/>
    <w:basedOn w:val="Normal"/>
    <w:rsid w:val="006C511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96629117</Template>
  <TotalTime>49</TotalTime>
  <Pages>6</Pages>
  <Words>1900</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7</cp:revision>
  <cp:lastPrinted>2010-10-15T09:32:00Z</cp:lastPrinted>
  <dcterms:created xsi:type="dcterms:W3CDTF">2015-06-10T13:46:00Z</dcterms:created>
  <dcterms:modified xsi:type="dcterms:W3CDTF">2015-07-02T08:45:00Z</dcterms:modified>
</cp:coreProperties>
</file>